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113843">
      <w:pPr>
        <w:pStyle w:val="5"/>
        <w:widowControl/>
        <w:spacing w:before="0" w:beforeAutospacing="0" w:after="0" w:afterAutospacing="0" w:line="578" w:lineRule="exact"/>
        <w:jc w:val="center"/>
        <w:rPr>
          <w:rFonts w:hint="default" w:ascii="Times New Roman" w:hAnsi="Times New Roman" w:eastAsia="方正小标宋简体" w:cs="Times New Roman"/>
          <w:sz w:val="44"/>
          <w:szCs w:val="44"/>
          <w:shd w:val="clear" w:color="auto" w:fill="FFFFFF"/>
        </w:rPr>
      </w:pPr>
      <w:r>
        <w:rPr>
          <w:rFonts w:hint="default" w:ascii="Times New Roman" w:hAnsi="Times New Roman" w:eastAsia="方正小标宋简体" w:cs="Times New Roman"/>
          <w:sz w:val="44"/>
          <w:szCs w:val="44"/>
          <w:shd w:val="clear" w:color="auto" w:fill="FFFFFF"/>
        </w:rPr>
        <w:t>2025年度</w:t>
      </w:r>
      <w:r>
        <w:rPr>
          <w:rFonts w:hint="default" w:ascii="Times New Roman" w:hAnsi="Times New Roman" w:eastAsia="方正小标宋简体" w:cs="Times New Roman"/>
          <w:sz w:val="44"/>
          <w:szCs w:val="44"/>
          <w:shd w:val="clear" w:color="auto" w:fill="FFFFFF"/>
          <w:lang w:val="en-US" w:eastAsia="zh-CN"/>
        </w:rPr>
        <w:t>泸县司法</w:t>
      </w:r>
      <w:r>
        <w:rPr>
          <w:rFonts w:hint="eastAsia" w:ascii="Times New Roman" w:hAnsi="Times New Roman" w:eastAsia="方正小标宋简体" w:cs="Times New Roman"/>
          <w:sz w:val="44"/>
          <w:szCs w:val="44"/>
          <w:shd w:val="clear" w:color="auto" w:fill="FFFFFF"/>
          <w:lang w:val="en-US" w:eastAsia="zh-CN"/>
        </w:rPr>
        <w:t>局</w:t>
      </w:r>
      <w:r>
        <w:rPr>
          <w:rFonts w:hint="default" w:ascii="Times New Roman" w:hAnsi="Times New Roman" w:eastAsia="方正小标宋简体" w:cs="Times New Roman"/>
          <w:sz w:val="44"/>
          <w:szCs w:val="44"/>
          <w:shd w:val="clear" w:color="auto" w:fill="FFFFFF"/>
        </w:rPr>
        <w:t>部门整体绩效目标申报表</w:t>
      </w:r>
    </w:p>
    <w:tbl>
      <w:tblPr>
        <w:tblStyle w:val="6"/>
        <w:tblW w:w="4991" w:type="pct"/>
        <w:jc w:val="center"/>
        <w:tblLayout w:type="autofit"/>
        <w:tblCellMar>
          <w:top w:w="0" w:type="dxa"/>
          <w:left w:w="28" w:type="dxa"/>
          <w:bottom w:w="0" w:type="dxa"/>
          <w:right w:w="28" w:type="dxa"/>
        </w:tblCellMar>
      </w:tblPr>
      <w:tblGrid>
        <w:gridCol w:w="554"/>
        <w:gridCol w:w="1123"/>
        <w:gridCol w:w="1155"/>
        <w:gridCol w:w="1606"/>
        <w:gridCol w:w="1333"/>
        <w:gridCol w:w="1090"/>
        <w:gridCol w:w="888"/>
        <w:gridCol w:w="1003"/>
        <w:gridCol w:w="925"/>
      </w:tblGrid>
      <w:tr w14:paraId="3187D66B">
        <w:tblPrEx>
          <w:tblCellMar>
            <w:top w:w="0" w:type="dxa"/>
            <w:left w:w="28" w:type="dxa"/>
            <w:bottom w:w="0" w:type="dxa"/>
            <w:right w:w="28" w:type="dxa"/>
          </w:tblCellMar>
        </w:tblPrEx>
        <w:trPr>
          <w:trHeight w:val="397" w:hRule="atLeast"/>
          <w:jc w:val="center"/>
        </w:trPr>
        <w:tc>
          <w:tcPr>
            <w:tcW w:w="1463" w:type="pct"/>
            <w:gridSpan w:val="3"/>
            <w:tcBorders>
              <w:top w:val="single" w:color="000000" w:sz="4" w:space="0"/>
              <w:left w:val="single" w:color="000000" w:sz="4" w:space="0"/>
              <w:bottom w:val="single" w:color="auto" w:sz="4" w:space="0"/>
              <w:right w:val="single" w:color="000000" w:sz="4" w:space="0"/>
            </w:tcBorders>
            <w:vAlign w:val="center"/>
          </w:tcPr>
          <w:p w14:paraId="131D77CC">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b/>
                <w:bCs/>
                <w:color w:val="000000"/>
                <w:sz w:val="21"/>
                <w:szCs w:val="21"/>
              </w:rPr>
            </w:pPr>
            <w:r>
              <w:rPr>
                <w:rFonts w:hint="default" w:ascii="Times New Roman" w:hAnsi="Times New Roman" w:eastAsia="方正仿宋简体" w:cs="Times New Roman"/>
                <w:b/>
                <w:bCs/>
                <w:color w:val="000000"/>
                <w:kern w:val="0"/>
                <w:sz w:val="21"/>
                <w:szCs w:val="21"/>
                <w:lang w:bidi="ar"/>
              </w:rPr>
              <w:t>部门名称</w:t>
            </w:r>
          </w:p>
        </w:tc>
        <w:tc>
          <w:tcPr>
            <w:tcW w:w="3536" w:type="pct"/>
            <w:gridSpan w:val="6"/>
            <w:tcBorders>
              <w:top w:val="single" w:color="000000" w:sz="4" w:space="0"/>
              <w:left w:val="single" w:color="000000" w:sz="4" w:space="0"/>
              <w:bottom w:val="single" w:color="000000" w:sz="4" w:space="0"/>
              <w:right w:val="single" w:color="000000" w:sz="4" w:space="0"/>
            </w:tcBorders>
            <w:vAlign w:val="center"/>
          </w:tcPr>
          <w:p w14:paraId="1944A967">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b/>
                <w:bCs/>
                <w:color w:val="000000"/>
                <w:sz w:val="21"/>
                <w:szCs w:val="21"/>
                <w:lang w:val="en-US" w:eastAsia="zh-CN"/>
              </w:rPr>
            </w:pPr>
            <w:r>
              <w:rPr>
                <w:rFonts w:hint="default" w:ascii="Times New Roman" w:hAnsi="Times New Roman" w:eastAsia="方正仿宋简体" w:cs="Times New Roman"/>
                <w:b/>
                <w:bCs/>
                <w:color w:val="000000"/>
                <w:kern w:val="0"/>
                <w:sz w:val="21"/>
                <w:szCs w:val="21"/>
                <w:lang w:val="en-US" w:eastAsia="zh-CN" w:bidi="ar"/>
              </w:rPr>
              <w:t>泸县司法局</w:t>
            </w:r>
          </w:p>
        </w:tc>
      </w:tr>
      <w:tr w14:paraId="3C3474AF">
        <w:tblPrEx>
          <w:tblCellMar>
            <w:top w:w="0" w:type="dxa"/>
            <w:left w:w="28" w:type="dxa"/>
            <w:bottom w:w="0" w:type="dxa"/>
            <w:right w:w="28" w:type="dxa"/>
          </w:tblCellMar>
        </w:tblPrEx>
        <w:trPr>
          <w:trHeight w:val="397" w:hRule="atLeast"/>
          <w:jc w:val="center"/>
        </w:trPr>
        <w:tc>
          <w:tcPr>
            <w:tcW w:w="1463" w:type="pct"/>
            <w:gridSpan w:val="3"/>
            <w:tcBorders>
              <w:top w:val="single" w:color="auto" w:sz="4" w:space="0"/>
              <w:left w:val="single" w:color="auto" w:sz="4" w:space="0"/>
              <w:bottom w:val="single" w:color="auto" w:sz="4" w:space="0"/>
              <w:right w:val="single" w:color="auto" w:sz="4" w:space="0"/>
            </w:tcBorders>
            <w:vAlign w:val="center"/>
          </w:tcPr>
          <w:p w14:paraId="7630E704">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b/>
                <w:bCs/>
                <w:color w:val="000000"/>
                <w:sz w:val="21"/>
                <w:szCs w:val="21"/>
              </w:rPr>
            </w:pPr>
            <w:r>
              <w:rPr>
                <w:rFonts w:hint="default" w:ascii="Times New Roman" w:hAnsi="Times New Roman" w:eastAsia="方正仿宋简体" w:cs="Times New Roman"/>
                <w:b/>
                <w:bCs/>
                <w:color w:val="000000"/>
                <w:kern w:val="0"/>
                <w:sz w:val="21"/>
                <w:szCs w:val="21"/>
                <w:lang w:bidi="ar"/>
              </w:rPr>
              <w:t>年度部门整体预算</w:t>
            </w:r>
          </w:p>
        </w:tc>
        <w:tc>
          <w:tcPr>
            <w:tcW w:w="1519" w:type="pct"/>
            <w:gridSpan w:val="2"/>
            <w:tcBorders>
              <w:top w:val="single" w:color="000000" w:sz="4" w:space="0"/>
              <w:left w:val="single" w:color="auto" w:sz="4" w:space="0"/>
              <w:bottom w:val="single" w:color="000000" w:sz="4" w:space="0"/>
              <w:right w:val="single" w:color="auto" w:sz="4" w:space="0"/>
            </w:tcBorders>
            <w:vAlign w:val="center"/>
          </w:tcPr>
          <w:p w14:paraId="47E99877">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资金总额</w:t>
            </w:r>
            <w:r>
              <w:rPr>
                <w:rFonts w:hint="default" w:ascii="Times New Roman" w:hAnsi="Times New Roman" w:eastAsia="方正仿宋简体" w:cs="Times New Roman"/>
                <w:color w:val="000000"/>
                <w:kern w:val="0"/>
                <w:sz w:val="21"/>
                <w:szCs w:val="21"/>
                <w:lang w:eastAsia="zh-CN" w:bidi="ar"/>
              </w:rPr>
              <w:t>（</w:t>
            </w:r>
            <w:r>
              <w:rPr>
                <w:rFonts w:hint="default" w:ascii="Times New Roman" w:hAnsi="Times New Roman" w:eastAsia="方正仿宋简体" w:cs="Times New Roman"/>
                <w:color w:val="000000"/>
                <w:kern w:val="0"/>
                <w:sz w:val="21"/>
                <w:szCs w:val="21"/>
                <w:lang w:val="en-US" w:eastAsia="zh-CN" w:bidi="ar"/>
              </w:rPr>
              <w:t>万元</w:t>
            </w:r>
            <w:r>
              <w:rPr>
                <w:rFonts w:hint="default" w:ascii="Times New Roman" w:hAnsi="Times New Roman" w:eastAsia="方正仿宋简体" w:cs="Times New Roman"/>
                <w:color w:val="000000"/>
                <w:kern w:val="0"/>
                <w:sz w:val="21"/>
                <w:szCs w:val="21"/>
                <w:lang w:eastAsia="zh-CN" w:bidi="ar"/>
              </w:rPr>
              <w:t>）</w:t>
            </w:r>
          </w:p>
        </w:tc>
        <w:tc>
          <w:tcPr>
            <w:tcW w:w="1022" w:type="pct"/>
            <w:gridSpan w:val="2"/>
            <w:tcBorders>
              <w:top w:val="single" w:color="auto" w:sz="4" w:space="0"/>
              <w:left w:val="single" w:color="auto" w:sz="4" w:space="0"/>
              <w:bottom w:val="single" w:color="auto" w:sz="4" w:space="0"/>
              <w:right w:val="single" w:color="auto" w:sz="4" w:space="0"/>
            </w:tcBorders>
            <w:vAlign w:val="center"/>
          </w:tcPr>
          <w:p w14:paraId="11B78CC0">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财政拨款</w:t>
            </w:r>
            <w:r>
              <w:rPr>
                <w:rFonts w:hint="default" w:ascii="Times New Roman" w:hAnsi="Times New Roman" w:eastAsia="方正仿宋简体" w:cs="Times New Roman"/>
                <w:color w:val="000000"/>
                <w:kern w:val="0"/>
                <w:sz w:val="21"/>
                <w:szCs w:val="21"/>
                <w:lang w:eastAsia="zh-CN" w:bidi="ar"/>
              </w:rPr>
              <w:t>（</w:t>
            </w:r>
            <w:r>
              <w:rPr>
                <w:rFonts w:hint="default" w:ascii="Times New Roman" w:hAnsi="Times New Roman" w:eastAsia="方正仿宋简体" w:cs="Times New Roman"/>
                <w:color w:val="000000"/>
                <w:kern w:val="0"/>
                <w:sz w:val="21"/>
                <w:szCs w:val="21"/>
                <w:lang w:val="en-US" w:eastAsia="zh-CN" w:bidi="ar"/>
              </w:rPr>
              <w:t>万元</w:t>
            </w:r>
            <w:r>
              <w:rPr>
                <w:rFonts w:hint="default" w:ascii="Times New Roman" w:hAnsi="Times New Roman" w:eastAsia="方正仿宋简体" w:cs="Times New Roman"/>
                <w:color w:val="000000"/>
                <w:kern w:val="0"/>
                <w:sz w:val="21"/>
                <w:szCs w:val="21"/>
                <w:lang w:eastAsia="zh-CN" w:bidi="ar"/>
              </w:rPr>
              <w:t>）</w:t>
            </w:r>
          </w:p>
        </w:tc>
        <w:tc>
          <w:tcPr>
            <w:tcW w:w="995" w:type="pct"/>
            <w:gridSpan w:val="2"/>
            <w:tcBorders>
              <w:top w:val="single" w:color="auto" w:sz="4" w:space="0"/>
              <w:left w:val="single" w:color="auto" w:sz="4" w:space="0"/>
              <w:bottom w:val="single" w:color="auto" w:sz="4" w:space="0"/>
              <w:right w:val="single" w:color="auto" w:sz="4" w:space="0"/>
            </w:tcBorders>
            <w:vAlign w:val="center"/>
          </w:tcPr>
          <w:p w14:paraId="3BC2901E">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其他资金</w:t>
            </w:r>
            <w:r>
              <w:rPr>
                <w:rFonts w:hint="default" w:ascii="Times New Roman" w:hAnsi="Times New Roman" w:eastAsia="方正仿宋简体" w:cs="Times New Roman"/>
                <w:color w:val="000000"/>
                <w:kern w:val="0"/>
                <w:sz w:val="21"/>
                <w:szCs w:val="21"/>
                <w:lang w:eastAsia="zh-CN" w:bidi="ar"/>
              </w:rPr>
              <w:t>（</w:t>
            </w:r>
            <w:r>
              <w:rPr>
                <w:rFonts w:hint="default" w:ascii="Times New Roman" w:hAnsi="Times New Roman" w:eastAsia="方正仿宋简体" w:cs="Times New Roman"/>
                <w:color w:val="000000"/>
                <w:kern w:val="0"/>
                <w:sz w:val="21"/>
                <w:szCs w:val="21"/>
                <w:lang w:val="en-US" w:eastAsia="zh-CN" w:bidi="ar"/>
              </w:rPr>
              <w:t>万元</w:t>
            </w:r>
            <w:r>
              <w:rPr>
                <w:rFonts w:hint="default" w:ascii="Times New Roman" w:hAnsi="Times New Roman" w:eastAsia="方正仿宋简体" w:cs="Times New Roman"/>
                <w:color w:val="000000"/>
                <w:kern w:val="0"/>
                <w:sz w:val="21"/>
                <w:szCs w:val="21"/>
                <w:lang w:eastAsia="zh-CN" w:bidi="ar"/>
              </w:rPr>
              <w:t>）</w:t>
            </w:r>
          </w:p>
        </w:tc>
      </w:tr>
      <w:tr w14:paraId="5521650D">
        <w:tblPrEx>
          <w:tblCellMar>
            <w:top w:w="0" w:type="dxa"/>
            <w:left w:w="28" w:type="dxa"/>
            <w:bottom w:w="0" w:type="dxa"/>
            <w:right w:w="28" w:type="dxa"/>
          </w:tblCellMar>
        </w:tblPrEx>
        <w:trPr>
          <w:trHeight w:val="397" w:hRule="atLeast"/>
          <w:jc w:val="center"/>
        </w:trPr>
        <w:tc>
          <w:tcPr>
            <w:tcW w:w="1463" w:type="pct"/>
            <w:gridSpan w:val="3"/>
            <w:tcBorders>
              <w:top w:val="single" w:color="auto" w:sz="4" w:space="0"/>
              <w:left w:val="single" w:color="auto" w:sz="4" w:space="0"/>
              <w:bottom w:val="single" w:color="auto" w:sz="4" w:space="0"/>
              <w:right w:val="single" w:color="auto" w:sz="4" w:space="0"/>
            </w:tcBorders>
            <w:vAlign w:val="center"/>
          </w:tcPr>
          <w:p w14:paraId="171878BF">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sz w:val="21"/>
                <w:szCs w:val="21"/>
              </w:rPr>
            </w:pPr>
            <w:r>
              <w:rPr>
                <w:rFonts w:hint="default" w:ascii="Times New Roman" w:hAnsi="Times New Roman" w:eastAsia="方正仿宋简体" w:cs="Times New Roman"/>
                <w:b/>
                <w:bCs/>
                <w:color w:val="000000"/>
                <w:kern w:val="0"/>
                <w:sz w:val="21"/>
                <w:szCs w:val="21"/>
                <w:lang w:bidi="ar"/>
              </w:rPr>
              <w:t>收入预算</w:t>
            </w:r>
          </w:p>
        </w:tc>
        <w:tc>
          <w:tcPr>
            <w:tcW w:w="1519" w:type="pct"/>
            <w:gridSpan w:val="2"/>
            <w:tcBorders>
              <w:top w:val="single" w:color="000000" w:sz="4" w:space="0"/>
              <w:left w:val="single" w:color="auto" w:sz="4" w:space="0"/>
              <w:bottom w:val="single" w:color="000000" w:sz="4" w:space="0"/>
              <w:right w:val="single" w:color="auto" w:sz="4" w:space="0"/>
            </w:tcBorders>
            <w:vAlign w:val="center"/>
          </w:tcPr>
          <w:p w14:paraId="14569597">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kern w:val="0"/>
                <w:sz w:val="21"/>
                <w:szCs w:val="21"/>
                <w:lang w:bidi="ar"/>
              </w:rPr>
            </w:pPr>
            <w:r>
              <w:rPr>
                <w:rFonts w:hint="default" w:ascii="Times New Roman" w:hAnsi="Times New Roman" w:eastAsia="方正仿宋简体" w:cs="Times New Roman"/>
                <w:color w:val="000000"/>
                <w:kern w:val="0"/>
                <w:sz w:val="21"/>
                <w:szCs w:val="21"/>
                <w:lang w:bidi="ar"/>
              </w:rPr>
              <w:t>1724.54</w:t>
            </w:r>
          </w:p>
        </w:tc>
        <w:tc>
          <w:tcPr>
            <w:tcW w:w="1022" w:type="pct"/>
            <w:gridSpan w:val="2"/>
            <w:tcBorders>
              <w:top w:val="single" w:color="auto" w:sz="4" w:space="0"/>
              <w:left w:val="single" w:color="auto" w:sz="4" w:space="0"/>
              <w:bottom w:val="single" w:color="auto" w:sz="4" w:space="0"/>
              <w:right w:val="single" w:color="auto" w:sz="4" w:space="0"/>
            </w:tcBorders>
            <w:vAlign w:val="center"/>
          </w:tcPr>
          <w:p w14:paraId="10A372B4">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kern w:val="0"/>
                <w:sz w:val="21"/>
                <w:szCs w:val="21"/>
                <w:lang w:bidi="ar"/>
              </w:rPr>
            </w:pPr>
            <w:r>
              <w:rPr>
                <w:rFonts w:hint="default" w:ascii="Times New Roman" w:hAnsi="Times New Roman" w:eastAsia="方正仿宋简体" w:cs="Times New Roman"/>
                <w:color w:val="000000"/>
                <w:kern w:val="0"/>
                <w:sz w:val="21"/>
                <w:szCs w:val="21"/>
                <w:lang w:bidi="ar"/>
              </w:rPr>
              <w:t>1724.54</w:t>
            </w:r>
          </w:p>
        </w:tc>
        <w:tc>
          <w:tcPr>
            <w:tcW w:w="995" w:type="pct"/>
            <w:gridSpan w:val="2"/>
            <w:tcBorders>
              <w:top w:val="single" w:color="auto" w:sz="4" w:space="0"/>
              <w:left w:val="single" w:color="auto" w:sz="4" w:space="0"/>
              <w:bottom w:val="single" w:color="auto" w:sz="4" w:space="0"/>
              <w:right w:val="single" w:color="auto" w:sz="4" w:space="0"/>
            </w:tcBorders>
            <w:vAlign w:val="center"/>
          </w:tcPr>
          <w:p w14:paraId="5A279639">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eastAsia" w:ascii="Times New Roman" w:hAnsi="Times New Roman" w:eastAsia="方正仿宋简体" w:cs="Times New Roman"/>
                <w:color w:val="000000"/>
                <w:kern w:val="0"/>
                <w:sz w:val="21"/>
                <w:szCs w:val="21"/>
                <w:lang w:val="en-US" w:eastAsia="zh-CN" w:bidi="ar"/>
              </w:rPr>
            </w:pPr>
            <w:r>
              <w:rPr>
                <w:rFonts w:hint="eastAsia" w:ascii="Times New Roman" w:hAnsi="Times New Roman" w:eastAsia="方正仿宋简体" w:cs="Times New Roman"/>
                <w:color w:val="000000"/>
                <w:kern w:val="0"/>
                <w:sz w:val="21"/>
                <w:szCs w:val="21"/>
                <w:lang w:val="en-US" w:eastAsia="zh-CN" w:bidi="ar"/>
              </w:rPr>
              <w:t>0</w:t>
            </w:r>
          </w:p>
        </w:tc>
      </w:tr>
      <w:tr w14:paraId="26E7D6AC">
        <w:tblPrEx>
          <w:tblCellMar>
            <w:top w:w="0" w:type="dxa"/>
            <w:left w:w="28" w:type="dxa"/>
            <w:bottom w:w="0" w:type="dxa"/>
            <w:right w:w="28" w:type="dxa"/>
          </w:tblCellMar>
        </w:tblPrEx>
        <w:trPr>
          <w:trHeight w:val="397" w:hRule="atLeast"/>
          <w:jc w:val="center"/>
        </w:trPr>
        <w:tc>
          <w:tcPr>
            <w:tcW w:w="1463" w:type="pct"/>
            <w:gridSpan w:val="3"/>
            <w:tcBorders>
              <w:top w:val="single" w:color="auto" w:sz="4" w:space="0"/>
              <w:left w:val="single" w:color="auto" w:sz="4" w:space="0"/>
              <w:bottom w:val="single" w:color="auto" w:sz="4" w:space="0"/>
              <w:right w:val="single" w:color="auto" w:sz="4" w:space="0"/>
            </w:tcBorders>
            <w:vAlign w:val="center"/>
          </w:tcPr>
          <w:p w14:paraId="680C5D32">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r>
              <w:rPr>
                <w:rFonts w:hint="default" w:ascii="Times New Roman" w:hAnsi="Times New Roman" w:eastAsia="方正仿宋简体" w:cs="Times New Roman"/>
                <w:b/>
                <w:bCs/>
                <w:color w:val="000000"/>
                <w:kern w:val="0"/>
                <w:sz w:val="21"/>
                <w:szCs w:val="21"/>
                <w:lang w:bidi="ar"/>
              </w:rPr>
              <w:t>支出预算</w:t>
            </w:r>
          </w:p>
        </w:tc>
        <w:tc>
          <w:tcPr>
            <w:tcW w:w="1519" w:type="pct"/>
            <w:gridSpan w:val="2"/>
            <w:tcBorders>
              <w:top w:val="single" w:color="000000" w:sz="4" w:space="0"/>
              <w:left w:val="single" w:color="auto" w:sz="4" w:space="0"/>
              <w:bottom w:val="single" w:color="000000" w:sz="4" w:space="0"/>
              <w:right w:val="single" w:color="000000" w:sz="4" w:space="0"/>
            </w:tcBorders>
            <w:vAlign w:val="center"/>
          </w:tcPr>
          <w:p w14:paraId="5DF3890B">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1724.54</w:t>
            </w:r>
          </w:p>
        </w:tc>
        <w:tc>
          <w:tcPr>
            <w:tcW w:w="1022" w:type="pct"/>
            <w:gridSpan w:val="2"/>
            <w:tcBorders>
              <w:top w:val="single" w:color="auto" w:sz="4" w:space="0"/>
              <w:left w:val="single" w:color="000000" w:sz="4" w:space="0"/>
              <w:bottom w:val="single" w:color="000000" w:sz="4" w:space="0"/>
              <w:right w:val="single" w:color="000000" w:sz="4" w:space="0"/>
            </w:tcBorders>
            <w:vAlign w:val="center"/>
          </w:tcPr>
          <w:p w14:paraId="0A1AF2E3">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1724.54</w:t>
            </w:r>
          </w:p>
        </w:tc>
        <w:tc>
          <w:tcPr>
            <w:tcW w:w="995" w:type="pct"/>
            <w:gridSpan w:val="2"/>
            <w:tcBorders>
              <w:top w:val="single" w:color="auto" w:sz="4" w:space="0"/>
              <w:left w:val="single" w:color="000000" w:sz="4" w:space="0"/>
              <w:bottom w:val="single" w:color="000000" w:sz="4" w:space="0"/>
              <w:right w:val="single" w:color="000000" w:sz="4" w:space="0"/>
            </w:tcBorders>
            <w:vAlign w:val="center"/>
          </w:tcPr>
          <w:p w14:paraId="27D0D6B4">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eastAsia" w:ascii="Times New Roman" w:hAnsi="Times New Roman" w:eastAsia="方正仿宋简体" w:cs="Times New Roman"/>
                <w:color w:val="000000"/>
                <w:sz w:val="21"/>
                <w:szCs w:val="21"/>
                <w:lang w:val="en-US" w:eastAsia="zh-CN"/>
              </w:rPr>
            </w:pPr>
            <w:r>
              <w:rPr>
                <w:rFonts w:hint="eastAsia" w:ascii="Times New Roman" w:hAnsi="Times New Roman" w:eastAsia="方正仿宋简体" w:cs="Times New Roman"/>
                <w:color w:val="000000"/>
                <w:sz w:val="21"/>
                <w:szCs w:val="21"/>
                <w:lang w:val="en-US" w:eastAsia="zh-CN"/>
              </w:rPr>
              <w:t>0</w:t>
            </w:r>
          </w:p>
        </w:tc>
      </w:tr>
      <w:tr w14:paraId="26EAA8C9">
        <w:tblPrEx>
          <w:tblCellMar>
            <w:top w:w="0" w:type="dxa"/>
            <w:left w:w="28" w:type="dxa"/>
            <w:bottom w:w="0" w:type="dxa"/>
            <w:right w:w="28" w:type="dxa"/>
          </w:tblCellMar>
        </w:tblPrEx>
        <w:trPr>
          <w:trHeight w:val="397" w:hRule="atLeast"/>
          <w:jc w:val="center"/>
        </w:trPr>
        <w:tc>
          <w:tcPr>
            <w:tcW w:w="1463" w:type="pct"/>
            <w:gridSpan w:val="3"/>
            <w:tcBorders>
              <w:top w:val="single" w:color="auto" w:sz="4" w:space="0"/>
              <w:left w:val="single" w:color="000000" w:sz="4" w:space="0"/>
              <w:bottom w:val="single" w:color="000000" w:sz="4" w:space="0"/>
              <w:right w:val="single" w:color="000000" w:sz="4" w:space="0"/>
            </w:tcBorders>
            <w:vAlign w:val="center"/>
          </w:tcPr>
          <w:p w14:paraId="2E35C1CF">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b/>
                <w:bCs/>
                <w:color w:val="000000"/>
                <w:sz w:val="21"/>
                <w:szCs w:val="21"/>
              </w:rPr>
            </w:pPr>
            <w:r>
              <w:rPr>
                <w:rFonts w:hint="default" w:ascii="Times New Roman" w:hAnsi="Times New Roman" w:eastAsia="方正仿宋简体" w:cs="Times New Roman"/>
                <w:b/>
                <w:bCs/>
                <w:color w:val="000000"/>
                <w:kern w:val="0"/>
                <w:sz w:val="21"/>
                <w:szCs w:val="21"/>
                <w:lang w:bidi="ar"/>
              </w:rPr>
              <w:t>年度总体目标</w:t>
            </w:r>
          </w:p>
        </w:tc>
        <w:tc>
          <w:tcPr>
            <w:tcW w:w="3536" w:type="pct"/>
            <w:gridSpan w:val="6"/>
            <w:tcBorders>
              <w:top w:val="single" w:color="000000" w:sz="4" w:space="0"/>
              <w:left w:val="single" w:color="000000" w:sz="4" w:space="0"/>
              <w:bottom w:val="single" w:color="000000" w:sz="4" w:space="0"/>
              <w:right w:val="single" w:color="000000" w:sz="4" w:space="0"/>
            </w:tcBorders>
            <w:vAlign w:val="center"/>
          </w:tcPr>
          <w:p w14:paraId="79EA0822">
            <w:pPr>
              <w:keepNext w:val="0"/>
              <w:keepLines w:val="0"/>
              <w:pageBreakBefore w:val="0"/>
              <w:widowControl/>
              <w:kinsoku/>
              <w:wordWrap/>
              <w:overflowPunct/>
              <w:topLinePunct w:val="0"/>
              <w:autoSpaceDE/>
              <w:autoSpaceDN/>
              <w:bidi w:val="0"/>
              <w:adjustRightInd/>
              <w:snapToGrid/>
              <w:spacing w:line="240" w:lineRule="exact"/>
              <w:ind w:firstLine="420" w:firstLineChars="200"/>
              <w:textAlignment w:val="center"/>
              <w:rPr>
                <w:rFonts w:hint="default" w:ascii="Times New Roman" w:hAnsi="Times New Roman" w:eastAsia="方正仿宋简体" w:cs="Times New Roman"/>
                <w:color w:val="000000"/>
                <w:kern w:val="0"/>
                <w:sz w:val="21"/>
                <w:szCs w:val="21"/>
                <w:lang w:bidi="ar"/>
              </w:rPr>
            </w:pPr>
            <w:r>
              <w:rPr>
                <w:rFonts w:hint="default" w:ascii="Times New Roman" w:hAnsi="Times New Roman" w:eastAsia="方正仿宋简体" w:cs="Times New Roman"/>
                <w:color w:val="000000"/>
                <w:kern w:val="0"/>
                <w:sz w:val="21"/>
                <w:szCs w:val="21"/>
                <w:lang w:bidi="ar"/>
              </w:rPr>
              <w:t>任务1：对公安派出所移送或委托的民间纠纷和适应解调的治安案件调解率100%，纠纷化解完成率≥95%，服务对象满意度≥90%。</w:t>
            </w:r>
          </w:p>
          <w:p w14:paraId="11AB8928">
            <w:pPr>
              <w:keepNext w:val="0"/>
              <w:keepLines w:val="0"/>
              <w:pageBreakBefore w:val="0"/>
              <w:widowControl/>
              <w:kinsoku/>
              <w:wordWrap/>
              <w:overflowPunct/>
              <w:topLinePunct w:val="0"/>
              <w:autoSpaceDE/>
              <w:autoSpaceDN/>
              <w:bidi w:val="0"/>
              <w:adjustRightInd/>
              <w:snapToGrid/>
              <w:spacing w:line="240" w:lineRule="exact"/>
              <w:ind w:firstLine="420" w:firstLineChars="200"/>
              <w:textAlignment w:val="center"/>
              <w:rPr>
                <w:rFonts w:hint="default" w:ascii="Times New Roman" w:hAnsi="Times New Roman" w:eastAsia="方正仿宋简体" w:cs="Times New Roman"/>
                <w:color w:val="000000"/>
                <w:kern w:val="0"/>
                <w:sz w:val="21"/>
                <w:szCs w:val="21"/>
                <w:lang w:val="en-US" w:eastAsia="zh-CN" w:bidi="ar"/>
              </w:rPr>
            </w:pPr>
            <w:r>
              <w:rPr>
                <w:rFonts w:hint="default" w:ascii="Times New Roman" w:hAnsi="Times New Roman" w:eastAsia="方正仿宋简体" w:cs="Times New Roman"/>
                <w:color w:val="000000"/>
                <w:kern w:val="0"/>
                <w:sz w:val="21"/>
                <w:szCs w:val="21"/>
                <w:lang w:val="en-US" w:eastAsia="zh-CN" w:bidi="ar"/>
              </w:rPr>
              <w:t>任务2：完成民生工程法律援助，维护正常司法秩序，履行法律援助职责。</w:t>
            </w:r>
          </w:p>
          <w:p w14:paraId="79BEE8F8">
            <w:pPr>
              <w:keepNext w:val="0"/>
              <w:keepLines w:val="0"/>
              <w:pageBreakBefore w:val="0"/>
              <w:widowControl/>
              <w:kinsoku/>
              <w:wordWrap/>
              <w:overflowPunct/>
              <w:topLinePunct w:val="0"/>
              <w:autoSpaceDE/>
              <w:autoSpaceDN/>
              <w:bidi w:val="0"/>
              <w:adjustRightInd/>
              <w:snapToGrid/>
              <w:spacing w:line="240" w:lineRule="exact"/>
              <w:ind w:firstLine="420" w:firstLineChars="200"/>
              <w:textAlignment w:val="center"/>
              <w:rPr>
                <w:rFonts w:hint="default" w:ascii="Times New Roman" w:hAnsi="Times New Roman" w:eastAsia="方正仿宋简体" w:cs="Times New Roman"/>
                <w:color w:val="000000"/>
                <w:kern w:val="0"/>
                <w:sz w:val="21"/>
                <w:szCs w:val="21"/>
                <w:lang w:val="en-US" w:eastAsia="zh-CN" w:bidi="ar"/>
              </w:rPr>
            </w:pPr>
            <w:r>
              <w:rPr>
                <w:rFonts w:hint="default" w:ascii="Times New Roman" w:hAnsi="Times New Roman" w:eastAsia="方正仿宋简体" w:cs="Times New Roman"/>
                <w:color w:val="000000"/>
                <w:kern w:val="0"/>
                <w:sz w:val="21"/>
                <w:szCs w:val="21"/>
                <w:lang w:val="en-US" w:eastAsia="zh-CN" w:bidi="ar"/>
              </w:rPr>
              <w:t>任务3：为维护正常司法秩序，履行法律援助职责，依法保障犯罪嫌疑人的合法权益，依法保障刑事案件律师辩护全覆盖和认罪认罚从宽制度执行这两项工作的顺利开展。</w:t>
            </w:r>
          </w:p>
          <w:p w14:paraId="734946C0">
            <w:pPr>
              <w:keepNext w:val="0"/>
              <w:keepLines w:val="0"/>
              <w:pageBreakBefore w:val="0"/>
              <w:widowControl/>
              <w:kinsoku/>
              <w:wordWrap/>
              <w:overflowPunct/>
              <w:topLinePunct w:val="0"/>
              <w:autoSpaceDE/>
              <w:autoSpaceDN/>
              <w:bidi w:val="0"/>
              <w:adjustRightInd/>
              <w:snapToGrid/>
              <w:spacing w:line="240" w:lineRule="exact"/>
              <w:ind w:firstLine="420" w:firstLineChars="200"/>
              <w:textAlignment w:val="center"/>
              <w:rPr>
                <w:rFonts w:hint="default" w:ascii="Times New Roman" w:hAnsi="Times New Roman" w:eastAsia="方正仿宋简体" w:cs="Times New Roman"/>
                <w:color w:val="000000"/>
                <w:kern w:val="0"/>
                <w:sz w:val="21"/>
                <w:szCs w:val="21"/>
                <w:lang w:bidi="ar"/>
              </w:rPr>
            </w:pPr>
            <w:r>
              <w:rPr>
                <w:rFonts w:hint="default" w:ascii="Times New Roman" w:hAnsi="Times New Roman" w:eastAsia="方正仿宋简体" w:cs="Times New Roman"/>
                <w:b w:val="0"/>
                <w:bCs w:val="0"/>
                <w:color w:val="000000"/>
                <w:kern w:val="0"/>
                <w:sz w:val="21"/>
                <w:szCs w:val="21"/>
                <w:lang w:val="en-US" w:eastAsia="zh-CN" w:bidi="ar"/>
              </w:rPr>
              <w:t>任务4：</w:t>
            </w:r>
            <w:r>
              <w:rPr>
                <w:rFonts w:hint="default" w:ascii="Times New Roman" w:hAnsi="Times New Roman" w:eastAsia="方正仿宋简体" w:cs="Times New Roman"/>
                <w:b w:val="0"/>
                <w:bCs w:val="0"/>
                <w:spacing w:val="-6"/>
                <w:sz w:val="21"/>
                <w:szCs w:val="21"/>
                <w:lang w:val="en-US" w:eastAsia="zh-CN"/>
              </w:rPr>
              <w:t>对县政府重大行政决策等进行合法性审查、提供法律意见，办理行政复议和应诉案件。</w:t>
            </w:r>
          </w:p>
        </w:tc>
      </w:tr>
      <w:tr w14:paraId="386356AD">
        <w:tblPrEx>
          <w:tblCellMar>
            <w:top w:w="0" w:type="dxa"/>
            <w:left w:w="28" w:type="dxa"/>
            <w:bottom w:w="0" w:type="dxa"/>
            <w:right w:w="28" w:type="dxa"/>
          </w:tblCellMar>
        </w:tblPrEx>
        <w:trPr>
          <w:trHeight w:val="397" w:hRule="atLeast"/>
          <w:jc w:val="center"/>
        </w:trPr>
        <w:tc>
          <w:tcPr>
            <w:tcW w:w="286" w:type="pct"/>
            <w:vMerge w:val="restart"/>
            <w:tcBorders>
              <w:top w:val="single" w:color="000000" w:sz="4" w:space="0"/>
              <w:left w:val="single" w:color="000000" w:sz="4" w:space="0"/>
              <w:right w:val="single" w:color="000000" w:sz="4" w:space="0"/>
            </w:tcBorders>
            <w:vAlign w:val="center"/>
          </w:tcPr>
          <w:p w14:paraId="2EFE0DFB">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b/>
                <w:bCs/>
                <w:color w:val="000000"/>
                <w:sz w:val="21"/>
                <w:szCs w:val="21"/>
              </w:rPr>
            </w:pPr>
            <w:r>
              <w:rPr>
                <w:rFonts w:hint="default" w:ascii="Times New Roman" w:hAnsi="Times New Roman" w:eastAsia="方正仿宋简体" w:cs="Times New Roman"/>
                <w:b/>
                <w:bCs/>
                <w:color w:val="000000"/>
                <w:kern w:val="0"/>
                <w:sz w:val="21"/>
                <w:szCs w:val="21"/>
                <w:lang w:bidi="ar"/>
              </w:rPr>
              <w:t>管理效率</w:t>
            </w:r>
          </w:p>
        </w:tc>
        <w:tc>
          <w:tcPr>
            <w:tcW w:w="580" w:type="pct"/>
            <w:vMerge w:val="restart"/>
            <w:tcBorders>
              <w:top w:val="single" w:color="000000" w:sz="4" w:space="0"/>
              <w:left w:val="single" w:color="000000" w:sz="4" w:space="0"/>
              <w:bottom w:val="single" w:color="000000" w:sz="4" w:space="0"/>
              <w:right w:val="single" w:color="000000" w:sz="4" w:space="0"/>
            </w:tcBorders>
            <w:vAlign w:val="center"/>
          </w:tcPr>
          <w:p w14:paraId="527B4BF3">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一级指标</w:t>
            </w:r>
          </w:p>
        </w:tc>
        <w:tc>
          <w:tcPr>
            <w:tcW w:w="596" w:type="pct"/>
            <w:vMerge w:val="restart"/>
            <w:tcBorders>
              <w:top w:val="single" w:color="000000" w:sz="4" w:space="0"/>
              <w:left w:val="single" w:color="000000" w:sz="4" w:space="0"/>
              <w:bottom w:val="single" w:color="000000" w:sz="4" w:space="0"/>
              <w:right w:val="single" w:color="000000" w:sz="4" w:space="0"/>
            </w:tcBorders>
            <w:vAlign w:val="center"/>
          </w:tcPr>
          <w:p w14:paraId="412F4FFF">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二级指标</w:t>
            </w:r>
          </w:p>
        </w:tc>
        <w:tc>
          <w:tcPr>
            <w:tcW w:w="830" w:type="pct"/>
            <w:vMerge w:val="restart"/>
            <w:tcBorders>
              <w:top w:val="single" w:color="000000" w:sz="4" w:space="0"/>
              <w:left w:val="single" w:color="000000" w:sz="4" w:space="0"/>
              <w:bottom w:val="single" w:color="000000" w:sz="4" w:space="0"/>
              <w:right w:val="single" w:color="000000" w:sz="4" w:space="0"/>
            </w:tcBorders>
            <w:vAlign w:val="center"/>
          </w:tcPr>
          <w:p w14:paraId="0849EEE2">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三级指标</w:t>
            </w:r>
          </w:p>
        </w:tc>
        <w:tc>
          <w:tcPr>
            <w:tcW w:w="688" w:type="pct"/>
            <w:vMerge w:val="restart"/>
            <w:tcBorders>
              <w:top w:val="single" w:color="000000" w:sz="4" w:space="0"/>
              <w:left w:val="single" w:color="000000" w:sz="4" w:space="0"/>
              <w:bottom w:val="single" w:color="000000" w:sz="4" w:space="0"/>
              <w:right w:val="single" w:color="000000" w:sz="4" w:space="0"/>
            </w:tcBorders>
            <w:vAlign w:val="center"/>
          </w:tcPr>
          <w:p w14:paraId="392CCC11">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指标值</w:t>
            </w:r>
          </w:p>
        </w:tc>
        <w:tc>
          <w:tcPr>
            <w:tcW w:w="2017" w:type="pct"/>
            <w:gridSpan w:val="4"/>
            <w:tcBorders>
              <w:top w:val="single" w:color="000000" w:sz="4" w:space="0"/>
              <w:left w:val="single" w:color="000000" w:sz="4" w:space="0"/>
              <w:bottom w:val="single" w:color="000000" w:sz="4" w:space="0"/>
              <w:right w:val="single" w:color="000000" w:sz="4" w:space="0"/>
            </w:tcBorders>
            <w:vAlign w:val="center"/>
          </w:tcPr>
          <w:p w14:paraId="196C8420">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指标设置参考值</w:t>
            </w:r>
          </w:p>
        </w:tc>
      </w:tr>
      <w:tr w14:paraId="4A1E2D01">
        <w:tblPrEx>
          <w:tblCellMar>
            <w:top w:w="0" w:type="dxa"/>
            <w:left w:w="28" w:type="dxa"/>
            <w:bottom w:w="0" w:type="dxa"/>
            <w:right w:w="28" w:type="dxa"/>
          </w:tblCellMar>
        </w:tblPrEx>
        <w:trPr>
          <w:trHeight w:val="397" w:hRule="atLeast"/>
          <w:jc w:val="center"/>
        </w:trPr>
        <w:tc>
          <w:tcPr>
            <w:tcW w:w="286" w:type="pct"/>
            <w:vMerge w:val="continue"/>
            <w:tcBorders>
              <w:left w:val="single" w:color="000000" w:sz="4" w:space="0"/>
              <w:right w:val="single" w:color="000000" w:sz="4" w:space="0"/>
            </w:tcBorders>
            <w:vAlign w:val="center"/>
          </w:tcPr>
          <w:p w14:paraId="3519B4EC">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continue"/>
            <w:tcBorders>
              <w:top w:val="single" w:color="000000" w:sz="4" w:space="0"/>
              <w:left w:val="single" w:color="000000" w:sz="4" w:space="0"/>
              <w:bottom w:val="single" w:color="000000" w:sz="4" w:space="0"/>
              <w:right w:val="single" w:color="000000" w:sz="4" w:space="0"/>
            </w:tcBorders>
            <w:vAlign w:val="center"/>
          </w:tcPr>
          <w:p w14:paraId="5FBB6A85">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96" w:type="pct"/>
            <w:vMerge w:val="continue"/>
            <w:tcBorders>
              <w:top w:val="single" w:color="000000" w:sz="4" w:space="0"/>
              <w:left w:val="single" w:color="000000" w:sz="4" w:space="0"/>
              <w:bottom w:val="single" w:color="000000" w:sz="4" w:space="0"/>
              <w:right w:val="single" w:color="000000" w:sz="4" w:space="0"/>
            </w:tcBorders>
            <w:vAlign w:val="center"/>
          </w:tcPr>
          <w:p w14:paraId="26AFF8AB">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830" w:type="pct"/>
            <w:vMerge w:val="continue"/>
            <w:tcBorders>
              <w:top w:val="single" w:color="000000" w:sz="4" w:space="0"/>
              <w:left w:val="single" w:color="000000" w:sz="4" w:space="0"/>
              <w:bottom w:val="single" w:color="000000" w:sz="4" w:space="0"/>
              <w:right w:val="single" w:color="000000" w:sz="4" w:space="0"/>
            </w:tcBorders>
            <w:vAlign w:val="center"/>
          </w:tcPr>
          <w:p w14:paraId="23CC4A2B">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688" w:type="pct"/>
            <w:vMerge w:val="continue"/>
            <w:tcBorders>
              <w:top w:val="single" w:color="000000" w:sz="4" w:space="0"/>
              <w:left w:val="single" w:color="000000" w:sz="4" w:space="0"/>
              <w:bottom w:val="single" w:color="000000" w:sz="4" w:space="0"/>
              <w:right w:val="single" w:color="000000" w:sz="4" w:space="0"/>
            </w:tcBorders>
            <w:vAlign w:val="center"/>
          </w:tcPr>
          <w:p w14:paraId="77627C6D">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63" w:type="pct"/>
            <w:tcBorders>
              <w:top w:val="single" w:color="000000" w:sz="4" w:space="0"/>
              <w:left w:val="single" w:color="000000" w:sz="4" w:space="0"/>
              <w:bottom w:val="single" w:color="000000" w:sz="4" w:space="0"/>
              <w:right w:val="single" w:color="000000" w:sz="4" w:space="0"/>
            </w:tcBorders>
            <w:vAlign w:val="center"/>
          </w:tcPr>
          <w:p w14:paraId="7DA5D1E8">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三年</w:t>
            </w:r>
          </w:p>
        </w:tc>
        <w:tc>
          <w:tcPr>
            <w:tcW w:w="458" w:type="pct"/>
            <w:vMerge w:val="restart"/>
            <w:tcBorders>
              <w:top w:val="single" w:color="000000" w:sz="4" w:space="0"/>
              <w:left w:val="single" w:color="000000" w:sz="4" w:space="0"/>
              <w:bottom w:val="single" w:color="000000" w:sz="4" w:space="0"/>
              <w:right w:val="single" w:color="000000" w:sz="4" w:space="0"/>
            </w:tcBorders>
            <w:vAlign w:val="center"/>
          </w:tcPr>
          <w:p w14:paraId="5FDE818E">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2022</w:t>
            </w:r>
            <w:r>
              <w:rPr>
                <w:rStyle w:val="8"/>
                <w:rFonts w:hint="default" w:ascii="Times New Roman" w:hAnsi="Times New Roman" w:eastAsia="方正仿宋简体" w:cs="Times New Roman"/>
                <w:sz w:val="21"/>
                <w:szCs w:val="21"/>
                <w:lang w:bidi="ar"/>
              </w:rPr>
              <w:t>年</w:t>
            </w:r>
          </w:p>
        </w:tc>
        <w:tc>
          <w:tcPr>
            <w:tcW w:w="518" w:type="pct"/>
            <w:vMerge w:val="restart"/>
            <w:tcBorders>
              <w:top w:val="single" w:color="000000" w:sz="4" w:space="0"/>
              <w:left w:val="single" w:color="000000" w:sz="4" w:space="0"/>
              <w:bottom w:val="single" w:color="000000" w:sz="4" w:space="0"/>
              <w:right w:val="single" w:color="000000" w:sz="4" w:space="0"/>
            </w:tcBorders>
            <w:vAlign w:val="center"/>
          </w:tcPr>
          <w:p w14:paraId="1CB1FFE1">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2023</w:t>
            </w:r>
            <w:r>
              <w:rPr>
                <w:rStyle w:val="8"/>
                <w:rFonts w:hint="default" w:ascii="Times New Roman" w:hAnsi="Times New Roman" w:eastAsia="方正仿宋简体" w:cs="Times New Roman"/>
                <w:sz w:val="21"/>
                <w:szCs w:val="21"/>
                <w:lang w:bidi="ar"/>
              </w:rPr>
              <w:t>年</w:t>
            </w:r>
          </w:p>
        </w:tc>
        <w:tc>
          <w:tcPr>
            <w:tcW w:w="476" w:type="pct"/>
            <w:vMerge w:val="restart"/>
            <w:tcBorders>
              <w:top w:val="single" w:color="000000" w:sz="4" w:space="0"/>
              <w:left w:val="single" w:color="000000" w:sz="4" w:space="0"/>
              <w:bottom w:val="single" w:color="000000" w:sz="4" w:space="0"/>
              <w:right w:val="single" w:color="000000" w:sz="4" w:space="0"/>
            </w:tcBorders>
            <w:vAlign w:val="center"/>
          </w:tcPr>
          <w:p w14:paraId="5ACF51A3">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2024</w:t>
            </w:r>
            <w:r>
              <w:rPr>
                <w:rStyle w:val="8"/>
                <w:rFonts w:hint="default" w:ascii="Times New Roman" w:hAnsi="Times New Roman" w:eastAsia="方正仿宋简体" w:cs="Times New Roman"/>
                <w:sz w:val="21"/>
                <w:szCs w:val="21"/>
                <w:lang w:bidi="ar"/>
              </w:rPr>
              <w:t>年</w:t>
            </w:r>
          </w:p>
        </w:tc>
      </w:tr>
      <w:tr w14:paraId="6E75ECC4">
        <w:tblPrEx>
          <w:tblCellMar>
            <w:top w:w="0" w:type="dxa"/>
            <w:left w:w="28" w:type="dxa"/>
            <w:bottom w:w="0" w:type="dxa"/>
            <w:right w:w="28" w:type="dxa"/>
          </w:tblCellMar>
        </w:tblPrEx>
        <w:trPr>
          <w:trHeight w:val="397" w:hRule="atLeast"/>
          <w:jc w:val="center"/>
        </w:trPr>
        <w:tc>
          <w:tcPr>
            <w:tcW w:w="286" w:type="pct"/>
            <w:vMerge w:val="continue"/>
            <w:tcBorders>
              <w:left w:val="single" w:color="000000" w:sz="4" w:space="0"/>
              <w:right w:val="single" w:color="000000" w:sz="4" w:space="0"/>
            </w:tcBorders>
            <w:vAlign w:val="center"/>
          </w:tcPr>
          <w:p w14:paraId="5EF87B72">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continue"/>
            <w:tcBorders>
              <w:top w:val="single" w:color="000000" w:sz="4" w:space="0"/>
              <w:left w:val="single" w:color="000000" w:sz="4" w:space="0"/>
              <w:bottom w:val="single" w:color="000000" w:sz="4" w:space="0"/>
              <w:right w:val="single" w:color="000000" w:sz="4" w:space="0"/>
            </w:tcBorders>
            <w:vAlign w:val="center"/>
          </w:tcPr>
          <w:p w14:paraId="749118C9">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96" w:type="pct"/>
            <w:vMerge w:val="continue"/>
            <w:tcBorders>
              <w:top w:val="single" w:color="000000" w:sz="4" w:space="0"/>
              <w:left w:val="single" w:color="000000" w:sz="4" w:space="0"/>
              <w:bottom w:val="single" w:color="000000" w:sz="4" w:space="0"/>
              <w:right w:val="single" w:color="000000" w:sz="4" w:space="0"/>
            </w:tcBorders>
            <w:vAlign w:val="center"/>
          </w:tcPr>
          <w:p w14:paraId="57CC3BA3">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830" w:type="pct"/>
            <w:vMerge w:val="continue"/>
            <w:tcBorders>
              <w:top w:val="single" w:color="000000" w:sz="4" w:space="0"/>
              <w:left w:val="single" w:color="000000" w:sz="4" w:space="0"/>
              <w:bottom w:val="single" w:color="000000" w:sz="4" w:space="0"/>
              <w:right w:val="single" w:color="000000" w:sz="4" w:space="0"/>
            </w:tcBorders>
            <w:vAlign w:val="center"/>
          </w:tcPr>
          <w:p w14:paraId="2F1FBA07">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688" w:type="pct"/>
            <w:vMerge w:val="continue"/>
            <w:tcBorders>
              <w:top w:val="single" w:color="000000" w:sz="4" w:space="0"/>
              <w:left w:val="single" w:color="000000" w:sz="4" w:space="0"/>
              <w:bottom w:val="single" w:color="000000" w:sz="4" w:space="0"/>
              <w:right w:val="single" w:color="000000" w:sz="4" w:space="0"/>
            </w:tcBorders>
            <w:vAlign w:val="center"/>
          </w:tcPr>
          <w:p w14:paraId="2577138B">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63" w:type="pct"/>
            <w:tcBorders>
              <w:top w:val="single" w:color="000000" w:sz="4" w:space="0"/>
              <w:left w:val="single" w:color="000000" w:sz="4" w:space="0"/>
              <w:bottom w:val="single" w:color="000000" w:sz="4" w:space="0"/>
              <w:right w:val="single" w:color="000000" w:sz="4" w:space="0"/>
            </w:tcBorders>
            <w:vAlign w:val="center"/>
          </w:tcPr>
          <w:p w14:paraId="108A7F29">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均值</w:t>
            </w:r>
          </w:p>
        </w:tc>
        <w:tc>
          <w:tcPr>
            <w:tcW w:w="458" w:type="pct"/>
            <w:vMerge w:val="continue"/>
            <w:tcBorders>
              <w:top w:val="single" w:color="000000" w:sz="4" w:space="0"/>
              <w:left w:val="single" w:color="000000" w:sz="4" w:space="0"/>
              <w:bottom w:val="single" w:color="000000" w:sz="4" w:space="0"/>
              <w:right w:val="single" w:color="000000" w:sz="4" w:space="0"/>
            </w:tcBorders>
            <w:vAlign w:val="center"/>
          </w:tcPr>
          <w:p w14:paraId="7D0461F1">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18" w:type="pct"/>
            <w:vMerge w:val="continue"/>
            <w:tcBorders>
              <w:top w:val="single" w:color="000000" w:sz="4" w:space="0"/>
              <w:left w:val="single" w:color="000000" w:sz="4" w:space="0"/>
              <w:bottom w:val="single" w:color="000000" w:sz="4" w:space="0"/>
              <w:right w:val="single" w:color="000000" w:sz="4" w:space="0"/>
            </w:tcBorders>
            <w:vAlign w:val="center"/>
          </w:tcPr>
          <w:p w14:paraId="2593537E">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476" w:type="pct"/>
            <w:vMerge w:val="continue"/>
            <w:tcBorders>
              <w:top w:val="single" w:color="000000" w:sz="4" w:space="0"/>
              <w:left w:val="single" w:color="000000" w:sz="4" w:space="0"/>
              <w:bottom w:val="single" w:color="000000" w:sz="4" w:space="0"/>
              <w:right w:val="single" w:color="000000" w:sz="4" w:space="0"/>
            </w:tcBorders>
            <w:vAlign w:val="center"/>
          </w:tcPr>
          <w:p w14:paraId="1BE15729">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r>
      <w:tr w14:paraId="277DC972">
        <w:tblPrEx>
          <w:tblCellMar>
            <w:top w:w="0" w:type="dxa"/>
            <w:left w:w="28" w:type="dxa"/>
            <w:bottom w:w="0" w:type="dxa"/>
            <w:right w:w="28" w:type="dxa"/>
          </w:tblCellMar>
        </w:tblPrEx>
        <w:trPr>
          <w:trHeight w:val="397" w:hRule="atLeast"/>
          <w:jc w:val="center"/>
        </w:trPr>
        <w:tc>
          <w:tcPr>
            <w:tcW w:w="286" w:type="pct"/>
            <w:vMerge w:val="continue"/>
            <w:tcBorders>
              <w:left w:val="single" w:color="000000" w:sz="4" w:space="0"/>
              <w:right w:val="single" w:color="000000" w:sz="4" w:space="0"/>
            </w:tcBorders>
            <w:vAlign w:val="center"/>
          </w:tcPr>
          <w:p w14:paraId="5EAE8F5E">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restart"/>
            <w:tcBorders>
              <w:top w:val="single" w:color="000000" w:sz="4" w:space="0"/>
              <w:left w:val="single" w:color="000000" w:sz="4" w:space="0"/>
              <w:right w:val="single" w:color="000000" w:sz="4" w:space="0"/>
            </w:tcBorders>
            <w:vAlign w:val="center"/>
          </w:tcPr>
          <w:p w14:paraId="031E9154">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成本指标</w:t>
            </w:r>
          </w:p>
        </w:tc>
        <w:tc>
          <w:tcPr>
            <w:tcW w:w="596" w:type="pct"/>
            <w:vMerge w:val="restart"/>
            <w:tcBorders>
              <w:top w:val="single" w:color="000000" w:sz="4" w:space="0"/>
              <w:left w:val="single" w:color="000000" w:sz="4" w:space="0"/>
              <w:bottom w:val="single" w:color="000000" w:sz="4" w:space="0"/>
              <w:right w:val="single" w:color="000000" w:sz="4" w:space="0"/>
            </w:tcBorders>
            <w:vAlign w:val="center"/>
          </w:tcPr>
          <w:p w14:paraId="0F59EC42">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预算管理</w:t>
            </w:r>
          </w:p>
        </w:tc>
        <w:tc>
          <w:tcPr>
            <w:tcW w:w="830" w:type="pct"/>
            <w:tcBorders>
              <w:top w:val="single" w:color="000000" w:sz="4" w:space="0"/>
              <w:left w:val="single" w:color="000000" w:sz="4" w:space="0"/>
              <w:bottom w:val="single" w:color="000000" w:sz="4" w:space="0"/>
              <w:right w:val="single" w:color="000000" w:sz="4" w:space="0"/>
            </w:tcBorders>
            <w:vAlign w:val="center"/>
          </w:tcPr>
          <w:p w14:paraId="1DA0865D">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财政拨款</w:t>
            </w:r>
            <w:r>
              <w:rPr>
                <w:rStyle w:val="8"/>
                <w:rFonts w:hint="default" w:ascii="Times New Roman" w:hAnsi="Times New Roman" w:eastAsia="方正仿宋简体" w:cs="Times New Roman"/>
                <w:sz w:val="21"/>
                <w:szCs w:val="21"/>
                <w:lang w:bidi="ar"/>
              </w:rPr>
              <w:t>预算编制偏离度</w:t>
            </w:r>
          </w:p>
        </w:tc>
        <w:tc>
          <w:tcPr>
            <w:tcW w:w="688" w:type="pct"/>
            <w:tcBorders>
              <w:top w:val="single" w:color="000000" w:sz="4" w:space="0"/>
              <w:left w:val="single" w:color="000000" w:sz="4" w:space="0"/>
              <w:bottom w:val="single" w:color="000000" w:sz="4" w:space="0"/>
              <w:right w:val="single" w:color="000000" w:sz="4" w:space="0"/>
            </w:tcBorders>
            <w:vAlign w:val="center"/>
          </w:tcPr>
          <w:p w14:paraId="26B81BE8">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w:t>
            </w:r>
            <w:r>
              <w:rPr>
                <w:rFonts w:hint="default" w:ascii="Times New Roman" w:hAnsi="Times New Roman" w:eastAsia="方正仿宋简体" w:cs="Times New Roman"/>
                <w:color w:val="000000"/>
                <w:kern w:val="0"/>
                <w:sz w:val="21"/>
                <w:szCs w:val="21"/>
                <w:lang w:val="en-US" w:eastAsia="zh-CN" w:bidi="ar"/>
              </w:rPr>
              <w:t>5</w:t>
            </w:r>
            <w:r>
              <w:rPr>
                <w:rFonts w:hint="default" w:ascii="Times New Roman" w:hAnsi="Times New Roman" w:eastAsia="方正仿宋简体" w:cs="Times New Roman"/>
                <w:color w:val="000000"/>
                <w:kern w:val="0"/>
                <w:sz w:val="21"/>
                <w:szCs w:val="21"/>
                <w:lang w:bidi="ar"/>
              </w:rPr>
              <w:t>%</w:t>
            </w:r>
          </w:p>
        </w:tc>
        <w:tc>
          <w:tcPr>
            <w:tcW w:w="563" w:type="pct"/>
            <w:tcBorders>
              <w:top w:val="single" w:color="000000" w:sz="4" w:space="0"/>
              <w:left w:val="single" w:color="000000" w:sz="4" w:space="0"/>
              <w:bottom w:val="single" w:color="000000" w:sz="4" w:space="0"/>
              <w:right w:val="single" w:color="000000" w:sz="4" w:space="0"/>
            </w:tcBorders>
            <w:vAlign w:val="center"/>
          </w:tcPr>
          <w:p w14:paraId="34FC4DE8">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Style w:val="8"/>
                <w:rFonts w:hint="default" w:ascii="Times New Roman" w:hAnsi="Times New Roman" w:eastAsia="方正仿宋简体" w:cs="Times New Roman"/>
                <w:sz w:val="21"/>
                <w:szCs w:val="21"/>
                <w:lang w:val="en-US" w:eastAsia="zh-CN" w:bidi="ar"/>
              </w:rPr>
              <w:t>5</w:t>
            </w:r>
            <w:r>
              <w:rPr>
                <w:rStyle w:val="8"/>
                <w:rFonts w:hint="default" w:ascii="Times New Roman" w:hAnsi="Times New Roman" w:eastAsia="方正仿宋简体" w:cs="Times New Roman"/>
                <w:sz w:val="21"/>
                <w:szCs w:val="21"/>
                <w:lang w:bidi="ar"/>
              </w:rPr>
              <w:t>%</w:t>
            </w:r>
          </w:p>
        </w:tc>
        <w:tc>
          <w:tcPr>
            <w:tcW w:w="458" w:type="pct"/>
            <w:tcBorders>
              <w:top w:val="single" w:color="000000" w:sz="4" w:space="0"/>
              <w:left w:val="single" w:color="000000" w:sz="4" w:space="0"/>
              <w:bottom w:val="single" w:color="000000" w:sz="4" w:space="0"/>
              <w:right w:val="single" w:color="000000" w:sz="4" w:space="0"/>
            </w:tcBorders>
            <w:vAlign w:val="center"/>
          </w:tcPr>
          <w:p w14:paraId="379E8642">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color w:val="000000"/>
                <w:sz w:val="21"/>
                <w:szCs w:val="21"/>
                <w:lang w:val="en-US" w:eastAsia="zh-CN"/>
              </w:rPr>
              <w:t>5%</w:t>
            </w:r>
          </w:p>
        </w:tc>
        <w:tc>
          <w:tcPr>
            <w:tcW w:w="518" w:type="pct"/>
            <w:tcBorders>
              <w:top w:val="single" w:color="000000" w:sz="4" w:space="0"/>
              <w:left w:val="single" w:color="000000" w:sz="4" w:space="0"/>
              <w:bottom w:val="single" w:color="000000" w:sz="4" w:space="0"/>
              <w:right w:val="single" w:color="000000" w:sz="4" w:space="0"/>
            </w:tcBorders>
            <w:vAlign w:val="center"/>
          </w:tcPr>
          <w:p w14:paraId="14BF040E">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color w:val="000000"/>
                <w:sz w:val="21"/>
                <w:szCs w:val="21"/>
                <w:lang w:val="en-US" w:eastAsia="zh-CN"/>
              </w:rPr>
              <w:t>6%</w:t>
            </w:r>
          </w:p>
        </w:tc>
        <w:tc>
          <w:tcPr>
            <w:tcW w:w="476" w:type="pct"/>
            <w:tcBorders>
              <w:top w:val="single" w:color="000000" w:sz="4" w:space="0"/>
              <w:left w:val="single" w:color="000000" w:sz="4" w:space="0"/>
              <w:bottom w:val="single" w:color="000000" w:sz="4" w:space="0"/>
              <w:right w:val="single" w:color="000000" w:sz="4" w:space="0"/>
            </w:tcBorders>
            <w:vAlign w:val="center"/>
          </w:tcPr>
          <w:p w14:paraId="2CB36CB5">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color w:val="000000"/>
                <w:sz w:val="21"/>
                <w:szCs w:val="21"/>
                <w:lang w:val="en-US" w:eastAsia="zh-CN"/>
              </w:rPr>
              <w:t>4%</w:t>
            </w:r>
          </w:p>
        </w:tc>
      </w:tr>
      <w:tr w14:paraId="41F6986D">
        <w:tblPrEx>
          <w:tblCellMar>
            <w:top w:w="0" w:type="dxa"/>
            <w:left w:w="28" w:type="dxa"/>
            <w:bottom w:w="0" w:type="dxa"/>
            <w:right w:w="28" w:type="dxa"/>
          </w:tblCellMar>
        </w:tblPrEx>
        <w:trPr>
          <w:trHeight w:val="397" w:hRule="atLeast"/>
          <w:jc w:val="center"/>
        </w:trPr>
        <w:tc>
          <w:tcPr>
            <w:tcW w:w="286" w:type="pct"/>
            <w:vMerge w:val="continue"/>
            <w:tcBorders>
              <w:left w:val="single" w:color="000000" w:sz="4" w:space="0"/>
              <w:right w:val="single" w:color="000000" w:sz="4" w:space="0"/>
            </w:tcBorders>
            <w:vAlign w:val="center"/>
          </w:tcPr>
          <w:p w14:paraId="0D77A1BB">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continue"/>
            <w:tcBorders>
              <w:left w:val="single" w:color="000000" w:sz="4" w:space="0"/>
              <w:right w:val="single" w:color="000000" w:sz="4" w:space="0"/>
            </w:tcBorders>
            <w:vAlign w:val="center"/>
          </w:tcPr>
          <w:p w14:paraId="05397C9A">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96" w:type="pct"/>
            <w:vMerge w:val="continue"/>
            <w:tcBorders>
              <w:top w:val="single" w:color="000000" w:sz="4" w:space="0"/>
              <w:left w:val="single" w:color="000000" w:sz="4" w:space="0"/>
              <w:bottom w:val="single" w:color="000000" w:sz="4" w:space="0"/>
              <w:right w:val="single" w:color="000000" w:sz="4" w:space="0"/>
            </w:tcBorders>
            <w:vAlign w:val="center"/>
          </w:tcPr>
          <w:p w14:paraId="4D7FD831">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830" w:type="pct"/>
            <w:tcBorders>
              <w:top w:val="single" w:color="000000" w:sz="4" w:space="0"/>
              <w:left w:val="single" w:color="000000" w:sz="4" w:space="0"/>
              <w:bottom w:val="single" w:color="000000" w:sz="4" w:space="0"/>
              <w:right w:val="single" w:color="000000" w:sz="4" w:space="0"/>
            </w:tcBorders>
            <w:vAlign w:val="center"/>
          </w:tcPr>
          <w:p w14:paraId="72564862">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一般性支出</w:t>
            </w:r>
            <w:r>
              <w:rPr>
                <w:rStyle w:val="8"/>
                <w:rFonts w:hint="default" w:ascii="Times New Roman" w:hAnsi="Times New Roman" w:eastAsia="方正仿宋简体" w:cs="Times New Roman"/>
                <w:sz w:val="21"/>
                <w:szCs w:val="21"/>
                <w:lang w:bidi="ar"/>
              </w:rPr>
              <w:t>金额</w:t>
            </w:r>
          </w:p>
        </w:tc>
        <w:tc>
          <w:tcPr>
            <w:tcW w:w="688" w:type="pct"/>
            <w:tcBorders>
              <w:top w:val="single" w:color="000000" w:sz="4" w:space="0"/>
              <w:left w:val="single" w:color="000000" w:sz="4" w:space="0"/>
              <w:bottom w:val="single" w:color="000000" w:sz="4" w:space="0"/>
              <w:right w:val="single" w:color="000000" w:sz="4" w:space="0"/>
            </w:tcBorders>
            <w:vAlign w:val="center"/>
          </w:tcPr>
          <w:p w14:paraId="01798074">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w:t>
            </w:r>
            <w:r>
              <w:rPr>
                <w:rFonts w:hint="default" w:ascii="Times New Roman" w:hAnsi="Times New Roman" w:eastAsia="方正仿宋简体" w:cs="Times New Roman"/>
                <w:color w:val="000000"/>
                <w:kern w:val="0"/>
                <w:sz w:val="21"/>
                <w:szCs w:val="21"/>
                <w:lang w:val="en-US" w:eastAsia="zh-CN" w:bidi="ar"/>
              </w:rPr>
              <w:t>120</w:t>
            </w:r>
            <w:r>
              <w:rPr>
                <w:rStyle w:val="8"/>
                <w:rFonts w:hint="default" w:ascii="Times New Roman" w:hAnsi="Times New Roman" w:eastAsia="方正仿宋简体" w:cs="Times New Roman"/>
                <w:sz w:val="21"/>
                <w:szCs w:val="21"/>
                <w:lang w:bidi="ar"/>
              </w:rPr>
              <w:t>万元</w:t>
            </w:r>
          </w:p>
        </w:tc>
        <w:tc>
          <w:tcPr>
            <w:tcW w:w="2017" w:type="pct"/>
            <w:gridSpan w:val="4"/>
            <w:tcBorders>
              <w:top w:val="single" w:color="000000" w:sz="4" w:space="0"/>
              <w:left w:val="single" w:color="000000" w:sz="4" w:space="0"/>
              <w:bottom w:val="single" w:color="000000" w:sz="4" w:space="0"/>
              <w:right w:val="single" w:color="000000" w:sz="4" w:space="0"/>
            </w:tcBorders>
            <w:vAlign w:val="center"/>
          </w:tcPr>
          <w:p w14:paraId="1D905433">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color w:val="000000"/>
                <w:kern w:val="0"/>
                <w:sz w:val="21"/>
                <w:szCs w:val="21"/>
                <w:lang w:val="en-US" w:eastAsia="zh-CN" w:bidi="ar"/>
              </w:rPr>
              <w:t>120</w:t>
            </w:r>
            <w:r>
              <w:rPr>
                <w:rStyle w:val="8"/>
                <w:rFonts w:hint="default" w:ascii="Times New Roman" w:hAnsi="Times New Roman" w:eastAsia="方正仿宋简体" w:cs="Times New Roman"/>
                <w:sz w:val="21"/>
                <w:szCs w:val="21"/>
                <w:lang w:bidi="ar"/>
              </w:rPr>
              <w:t>万元</w:t>
            </w:r>
          </w:p>
        </w:tc>
      </w:tr>
      <w:tr w14:paraId="1A26FD6C">
        <w:tblPrEx>
          <w:tblCellMar>
            <w:top w:w="0" w:type="dxa"/>
            <w:left w:w="28" w:type="dxa"/>
            <w:bottom w:w="0" w:type="dxa"/>
            <w:right w:w="28" w:type="dxa"/>
          </w:tblCellMar>
        </w:tblPrEx>
        <w:trPr>
          <w:trHeight w:val="397" w:hRule="atLeast"/>
          <w:jc w:val="center"/>
        </w:trPr>
        <w:tc>
          <w:tcPr>
            <w:tcW w:w="286" w:type="pct"/>
            <w:vMerge w:val="continue"/>
            <w:tcBorders>
              <w:left w:val="single" w:color="000000" w:sz="4" w:space="0"/>
              <w:right w:val="single" w:color="000000" w:sz="4" w:space="0"/>
            </w:tcBorders>
            <w:vAlign w:val="center"/>
          </w:tcPr>
          <w:p w14:paraId="6C3B5A3B">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continue"/>
            <w:tcBorders>
              <w:left w:val="single" w:color="000000" w:sz="4" w:space="0"/>
              <w:right w:val="single" w:color="000000" w:sz="4" w:space="0"/>
            </w:tcBorders>
            <w:vAlign w:val="center"/>
          </w:tcPr>
          <w:p w14:paraId="30D93B45">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96" w:type="pct"/>
            <w:tcBorders>
              <w:top w:val="single" w:color="000000" w:sz="4" w:space="0"/>
              <w:left w:val="single" w:color="000000" w:sz="4" w:space="0"/>
              <w:bottom w:val="single" w:color="000000" w:sz="4" w:space="0"/>
              <w:right w:val="single" w:color="000000" w:sz="4" w:space="0"/>
            </w:tcBorders>
            <w:vAlign w:val="center"/>
          </w:tcPr>
          <w:p w14:paraId="6E797CB7">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财务管理</w:t>
            </w:r>
          </w:p>
        </w:tc>
        <w:tc>
          <w:tcPr>
            <w:tcW w:w="830" w:type="pct"/>
            <w:tcBorders>
              <w:top w:val="single" w:color="000000" w:sz="4" w:space="0"/>
              <w:left w:val="single" w:color="000000" w:sz="4" w:space="0"/>
              <w:bottom w:val="single" w:color="000000" w:sz="4" w:space="0"/>
              <w:right w:val="single" w:color="000000" w:sz="4" w:space="0"/>
            </w:tcBorders>
            <w:vAlign w:val="center"/>
          </w:tcPr>
          <w:p w14:paraId="5ADEEDDB">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财务管理规范</w:t>
            </w:r>
          </w:p>
        </w:tc>
        <w:tc>
          <w:tcPr>
            <w:tcW w:w="688" w:type="pct"/>
            <w:tcBorders>
              <w:top w:val="single" w:color="000000" w:sz="4" w:space="0"/>
              <w:left w:val="single" w:color="000000" w:sz="4" w:space="0"/>
              <w:bottom w:val="single" w:color="000000" w:sz="4" w:space="0"/>
              <w:right w:val="single" w:color="000000" w:sz="4" w:space="0"/>
            </w:tcBorders>
            <w:vAlign w:val="center"/>
          </w:tcPr>
          <w:p w14:paraId="0C5EDBBC">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color w:val="000000"/>
                <w:sz w:val="21"/>
                <w:szCs w:val="21"/>
                <w:lang w:val="en-US" w:eastAsia="zh-CN"/>
              </w:rPr>
              <w:t>优</w:t>
            </w:r>
          </w:p>
        </w:tc>
        <w:tc>
          <w:tcPr>
            <w:tcW w:w="2017" w:type="pct"/>
            <w:gridSpan w:val="4"/>
            <w:tcBorders>
              <w:top w:val="single" w:color="000000" w:sz="4" w:space="0"/>
              <w:left w:val="single" w:color="000000" w:sz="4" w:space="0"/>
              <w:bottom w:val="single" w:color="000000" w:sz="4" w:space="0"/>
              <w:right w:val="single" w:color="000000" w:sz="4" w:space="0"/>
            </w:tcBorders>
            <w:vAlign w:val="center"/>
          </w:tcPr>
          <w:p w14:paraId="56D32C7D">
            <w:pPr>
              <w:keepNext w:val="0"/>
              <w:keepLines w:val="0"/>
              <w:pageBreakBefore w:val="0"/>
              <w:widowControl/>
              <w:kinsoku/>
              <w:wordWrap/>
              <w:overflowPunct/>
              <w:topLinePunct w:val="0"/>
              <w:autoSpaceDE/>
              <w:autoSpaceDN/>
              <w:bidi w:val="0"/>
              <w:adjustRightInd/>
              <w:snapToGrid/>
              <w:spacing w:line="240" w:lineRule="exact"/>
              <w:jc w:val="left"/>
              <w:textAlignment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color w:val="000000"/>
                <w:kern w:val="0"/>
                <w:sz w:val="21"/>
                <w:szCs w:val="21"/>
                <w:lang w:val="en-US" w:eastAsia="zh-CN" w:bidi="ar"/>
              </w:rPr>
              <w:t>已建立部门财务管理制度，部门财务岗位设置符合相关财务管理制度要求，部门资金使用符合相关财务管理制度规定。</w:t>
            </w:r>
          </w:p>
        </w:tc>
      </w:tr>
      <w:tr w14:paraId="5970275D">
        <w:tblPrEx>
          <w:tblCellMar>
            <w:top w:w="0" w:type="dxa"/>
            <w:left w:w="28" w:type="dxa"/>
            <w:bottom w:w="0" w:type="dxa"/>
            <w:right w:w="28" w:type="dxa"/>
          </w:tblCellMar>
        </w:tblPrEx>
        <w:trPr>
          <w:trHeight w:val="397" w:hRule="atLeast"/>
          <w:jc w:val="center"/>
        </w:trPr>
        <w:tc>
          <w:tcPr>
            <w:tcW w:w="286" w:type="pct"/>
            <w:vMerge w:val="continue"/>
            <w:tcBorders>
              <w:left w:val="single" w:color="000000" w:sz="4" w:space="0"/>
              <w:bottom w:val="single" w:color="000000" w:sz="4" w:space="0"/>
              <w:right w:val="single" w:color="000000" w:sz="4" w:space="0"/>
            </w:tcBorders>
            <w:vAlign w:val="center"/>
          </w:tcPr>
          <w:p w14:paraId="558979F0">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continue"/>
            <w:tcBorders>
              <w:left w:val="single" w:color="000000" w:sz="4" w:space="0"/>
              <w:bottom w:val="single" w:color="000000" w:sz="4" w:space="0"/>
              <w:right w:val="single" w:color="000000" w:sz="4" w:space="0"/>
            </w:tcBorders>
            <w:vAlign w:val="center"/>
          </w:tcPr>
          <w:p w14:paraId="11892882">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96" w:type="pct"/>
            <w:tcBorders>
              <w:top w:val="single" w:color="000000" w:sz="4" w:space="0"/>
              <w:left w:val="single" w:color="000000" w:sz="4" w:space="0"/>
              <w:bottom w:val="single" w:color="000000" w:sz="4" w:space="0"/>
              <w:right w:val="single" w:color="000000" w:sz="4" w:space="0"/>
            </w:tcBorders>
            <w:vAlign w:val="center"/>
          </w:tcPr>
          <w:p w14:paraId="7C05AE31">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采购管理</w:t>
            </w:r>
          </w:p>
        </w:tc>
        <w:tc>
          <w:tcPr>
            <w:tcW w:w="830" w:type="pct"/>
            <w:tcBorders>
              <w:top w:val="single" w:color="000000" w:sz="4" w:space="0"/>
              <w:left w:val="single" w:color="000000" w:sz="4" w:space="0"/>
              <w:bottom w:val="single" w:color="000000" w:sz="4" w:space="0"/>
              <w:right w:val="single" w:color="000000" w:sz="4" w:space="0"/>
            </w:tcBorders>
            <w:vAlign w:val="center"/>
          </w:tcPr>
          <w:p w14:paraId="6523F166">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采购执行率</w:t>
            </w:r>
          </w:p>
        </w:tc>
        <w:tc>
          <w:tcPr>
            <w:tcW w:w="688" w:type="pct"/>
            <w:tcBorders>
              <w:top w:val="single" w:color="000000" w:sz="4" w:space="0"/>
              <w:left w:val="single" w:color="000000" w:sz="4" w:space="0"/>
              <w:bottom w:val="single" w:color="000000" w:sz="4" w:space="0"/>
              <w:right w:val="single" w:color="000000" w:sz="4" w:space="0"/>
            </w:tcBorders>
            <w:vAlign w:val="center"/>
          </w:tcPr>
          <w:p w14:paraId="7C351F50">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w:t>
            </w:r>
            <w:r>
              <w:rPr>
                <w:rFonts w:hint="default" w:ascii="Times New Roman" w:hAnsi="Times New Roman" w:eastAsia="方正仿宋简体" w:cs="Times New Roman"/>
                <w:color w:val="000000"/>
                <w:kern w:val="0"/>
                <w:sz w:val="21"/>
                <w:szCs w:val="21"/>
                <w:lang w:val="en-US" w:eastAsia="zh-CN" w:bidi="ar"/>
              </w:rPr>
              <w:t>90</w:t>
            </w:r>
            <w:r>
              <w:rPr>
                <w:rFonts w:hint="default" w:ascii="Times New Roman" w:hAnsi="Times New Roman" w:eastAsia="方正仿宋简体" w:cs="Times New Roman"/>
                <w:color w:val="000000"/>
                <w:kern w:val="0"/>
                <w:sz w:val="21"/>
                <w:szCs w:val="21"/>
                <w:lang w:bidi="ar"/>
              </w:rPr>
              <w:t>%</w:t>
            </w:r>
          </w:p>
        </w:tc>
        <w:tc>
          <w:tcPr>
            <w:tcW w:w="563" w:type="pct"/>
            <w:tcBorders>
              <w:top w:val="single" w:color="000000" w:sz="4" w:space="0"/>
              <w:left w:val="single" w:color="000000" w:sz="4" w:space="0"/>
              <w:bottom w:val="single" w:color="000000" w:sz="4" w:space="0"/>
              <w:right w:val="single" w:color="000000" w:sz="4" w:space="0"/>
            </w:tcBorders>
            <w:vAlign w:val="center"/>
          </w:tcPr>
          <w:p w14:paraId="4CE4A5A1">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Style w:val="8"/>
                <w:rFonts w:hint="default" w:ascii="Times New Roman" w:hAnsi="Times New Roman" w:eastAsia="方正仿宋简体" w:cs="Times New Roman"/>
                <w:sz w:val="21"/>
                <w:szCs w:val="21"/>
                <w:lang w:val="en-US" w:eastAsia="zh-CN" w:bidi="ar"/>
              </w:rPr>
              <w:t>90</w:t>
            </w:r>
            <w:r>
              <w:rPr>
                <w:rStyle w:val="8"/>
                <w:rFonts w:hint="default" w:ascii="Times New Roman" w:hAnsi="Times New Roman" w:eastAsia="方正仿宋简体" w:cs="Times New Roman"/>
                <w:sz w:val="21"/>
                <w:szCs w:val="21"/>
                <w:lang w:bidi="ar"/>
              </w:rPr>
              <w:t>%</w:t>
            </w:r>
          </w:p>
        </w:tc>
        <w:tc>
          <w:tcPr>
            <w:tcW w:w="458" w:type="pct"/>
            <w:tcBorders>
              <w:top w:val="single" w:color="000000" w:sz="4" w:space="0"/>
              <w:left w:val="single" w:color="000000" w:sz="4" w:space="0"/>
              <w:bottom w:val="single" w:color="000000" w:sz="4" w:space="0"/>
              <w:right w:val="single" w:color="000000" w:sz="4" w:space="0"/>
            </w:tcBorders>
            <w:vAlign w:val="center"/>
          </w:tcPr>
          <w:p w14:paraId="384DCCEB">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color w:val="000000"/>
                <w:sz w:val="21"/>
                <w:szCs w:val="21"/>
                <w:lang w:val="en-US" w:eastAsia="zh-CN"/>
              </w:rPr>
              <w:t>100%</w:t>
            </w:r>
          </w:p>
        </w:tc>
        <w:tc>
          <w:tcPr>
            <w:tcW w:w="518" w:type="pct"/>
            <w:tcBorders>
              <w:top w:val="single" w:color="000000" w:sz="4" w:space="0"/>
              <w:left w:val="single" w:color="000000" w:sz="4" w:space="0"/>
              <w:bottom w:val="single" w:color="000000" w:sz="4" w:space="0"/>
              <w:right w:val="single" w:color="000000" w:sz="4" w:space="0"/>
            </w:tcBorders>
            <w:vAlign w:val="center"/>
          </w:tcPr>
          <w:p w14:paraId="5166EB8D">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color w:val="000000"/>
                <w:sz w:val="21"/>
                <w:szCs w:val="21"/>
                <w:lang w:val="en-US" w:eastAsia="zh-CN"/>
              </w:rPr>
              <w:t>90%</w:t>
            </w:r>
          </w:p>
        </w:tc>
        <w:tc>
          <w:tcPr>
            <w:tcW w:w="476" w:type="pct"/>
            <w:tcBorders>
              <w:top w:val="single" w:color="000000" w:sz="4" w:space="0"/>
              <w:left w:val="single" w:color="000000" w:sz="4" w:space="0"/>
              <w:bottom w:val="single" w:color="000000" w:sz="4" w:space="0"/>
              <w:right w:val="single" w:color="000000" w:sz="4" w:space="0"/>
            </w:tcBorders>
            <w:vAlign w:val="center"/>
          </w:tcPr>
          <w:p w14:paraId="189963C0">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color w:val="000000"/>
                <w:sz w:val="21"/>
                <w:szCs w:val="21"/>
                <w:lang w:val="en-US" w:eastAsia="zh-CN"/>
              </w:rPr>
              <w:t>80%</w:t>
            </w:r>
          </w:p>
        </w:tc>
      </w:tr>
      <w:tr w14:paraId="220D4F74">
        <w:tblPrEx>
          <w:tblCellMar>
            <w:top w:w="0" w:type="dxa"/>
            <w:left w:w="28" w:type="dxa"/>
            <w:bottom w:w="0" w:type="dxa"/>
            <w:right w:w="28" w:type="dxa"/>
          </w:tblCellMar>
        </w:tblPrEx>
        <w:trPr>
          <w:trHeight w:val="397" w:hRule="atLeast"/>
          <w:jc w:val="center"/>
        </w:trPr>
        <w:tc>
          <w:tcPr>
            <w:tcW w:w="286" w:type="pct"/>
            <w:vMerge w:val="restart"/>
            <w:tcBorders>
              <w:top w:val="single" w:color="000000" w:sz="4" w:space="0"/>
              <w:left w:val="single" w:color="000000" w:sz="4" w:space="0"/>
              <w:bottom w:val="single" w:color="000000" w:sz="4" w:space="0"/>
              <w:right w:val="single" w:color="000000" w:sz="4" w:space="0"/>
            </w:tcBorders>
            <w:vAlign w:val="center"/>
          </w:tcPr>
          <w:p w14:paraId="5759078D">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b/>
                <w:bCs/>
                <w:color w:val="000000"/>
                <w:sz w:val="21"/>
                <w:szCs w:val="21"/>
              </w:rPr>
            </w:pPr>
            <w:r>
              <w:rPr>
                <w:rFonts w:hint="default" w:ascii="Times New Roman" w:hAnsi="Times New Roman" w:eastAsia="方正仿宋简体" w:cs="Times New Roman"/>
                <w:b/>
                <w:bCs/>
                <w:color w:val="000000"/>
                <w:kern w:val="0"/>
                <w:sz w:val="21"/>
                <w:szCs w:val="21"/>
                <w:lang w:bidi="ar"/>
              </w:rPr>
              <w:t>履职效能</w:t>
            </w:r>
          </w:p>
        </w:tc>
        <w:tc>
          <w:tcPr>
            <w:tcW w:w="580" w:type="pct"/>
            <w:tcBorders>
              <w:top w:val="single" w:color="000000" w:sz="4" w:space="0"/>
              <w:left w:val="single" w:color="000000" w:sz="4" w:space="0"/>
              <w:bottom w:val="single" w:color="000000" w:sz="4" w:space="0"/>
              <w:right w:val="single" w:color="000000" w:sz="4" w:space="0"/>
            </w:tcBorders>
            <w:vAlign w:val="center"/>
          </w:tcPr>
          <w:p w14:paraId="5B561FE4">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一级指标</w:t>
            </w:r>
          </w:p>
        </w:tc>
        <w:tc>
          <w:tcPr>
            <w:tcW w:w="596" w:type="pct"/>
            <w:tcBorders>
              <w:top w:val="single" w:color="000000" w:sz="4" w:space="0"/>
              <w:left w:val="single" w:color="000000" w:sz="4" w:space="0"/>
              <w:bottom w:val="single" w:color="000000" w:sz="4" w:space="0"/>
              <w:right w:val="single" w:color="000000" w:sz="4" w:space="0"/>
            </w:tcBorders>
            <w:vAlign w:val="center"/>
          </w:tcPr>
          <w:p w14:paraId="5A724DA6">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二级指标</w:t>
            </w:r>
          </w:p>
        </w:tc>
        <w:tc>
          <w:tcPr>
            <w:tcW w:w="830" w:type="pct"/>
            <w:tcBorders>
              <w:top w:val="single" w:color="000000" w:sz="4" w:space="0"/>
              <w:left w:val="single" w:color="000000" w:sz="4" w:space="0"/>
              <w:bottom w:val="single" w:color="000000" w:sz="4" w:space="0"/>
              <w:right w:val="single" w:color="000000" w:sz="4" w:space="0"/>
            </w:tcBorders>
            <w:vAlign w:val="center"/>
          </w:tcPr>
          <w:p w14:paraId="37635190">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三级指标</w:t>
            </w:r>
          </w:p>
        </w:tc>
        <w:tc>
          <w:tcPr>
            <w:tcW w:w="2705" w:type="pct"/>
            <w:gridSpan w:val="5"/>
            <w:tcBorders>
              <w:top w:val="single" w:color="000000" w:sz="4" w:space="0"/>
              <w:left w:val="single" w:color="000000" w:sz="4" w:space="0"/>
              <w:bottom w:val="single" w:color="000000" w:sz="4" w:space="0"/>
              <w:right w:val="single" w:color="000000" w:sz="4" w:space="0"/>
            </w:tcBorders>
            <w:vAlign w:val="center"/>
          </w:tcPr>
          <w:p w14:paraId="3F7230A2">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指标值（包含数字及文字描述）</w:t>
            </w:r>
          </w:p>
        </w:tc>
      </w:tr>
      <w:tr w14:paraId="7BF384B5">
        <w:tblPrEx>
          <w:tblCellMar>
            <w:top w:w="0" w:type="dxa"/>
            <w:left w:w="28" w:type="dxa"/>
            <w:bottom w:w="0" w:type="dxa"/>
            <w:right w:w="28" w:type="dxa"/>
          </w:tblCellMar>
        </w:tblPrEx>
        <w:trPr>
          <w:trHeight w:val="397" w:hRule="atLeast"/>
          <w:jc w:val="center"/>
        </w:trPr>
        <w:tc>
          <w:tcPr>
            <w:tcW w:w="286" w:type="pct"/>
            <w:vMerge w:val="continue"/>
            <w:tcBorders>
              <w:top w:val="single" w:color="000000" w:sz="4" w:space="0"/>
              <w:left w:val="single" w:color="000000" w:sz="4" w:space="0"/>
              <w:bottom w:val="single" w:color="000000" w:sz="4" w:space="0"/>
              <w:right w:val="single" w:color="000000" w:sz="4" w:space="0"/>
            </w:tcBorders>
            <w:vAlign w:val="center"/>
          </w:tcPr>
          <w:p w14:paraId="5FECFF04">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restart"/>
            <w:tcBorders>
              <w:top w:val="single" w:color="000000" w:sz="4" w:space="0"/>
              <w:left w:val="single" w:color="000000" w:sz="4" w:space="0"/>
              <w:bottom w:val="single" w:color="000000" w:sz="4" w:space="0"/>
              <w:right w:val="single" w:color="000000" w:sz="4" w:space="0"/>
            </w:tcBorders>
            <w:vAlign w:val="center"/>
          </w:tcPr>
          <w:p w14:paraId="6FF1542C">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产出指标</w:t>
            </w:r>
          </w:p>
        </w:tc>
        <w:tc>
          <w:tcPr>
            <w:tcW w:w="596" w:type="pct"/>
            <w:tcBorders>
              <w:top w:val="single" w:color="000000" w:sz="4" w:space="0"/>
              <w:left w:val="single" w:color="000000" w:sz="4" w:space="0"/>
              <w:bottom w:val="single" w:color="000000" w:sz="4" w:space="0"/>
              <w:right w:val="single" w:color="000000" w:sz="4" w:space="0"/>
            </w:tcBorders>
            <w:vAlign w:val="center"/>
          </w:tcPr>
          <w:p w14:paraId="376C11A1">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数量指标</w:t>
            </w:r>
          </w:p>
        </w:tc>
        <w:tc>
          <w:tcPr>
            <w:tcW w:w="830" w:type="pct"/>
            <w:tcBorders>
              <w:top w:val="single" w:color="000000" w:sz="4" w:space="0"/>
              <w:left w:val="single" w:color="000000" w:sz="4" w:space="0"/>
              <w:bottom w:val="single" w:color="000000" w:sz="4" w:space="0"/>
              <w:right w:val="single" w:color="000000" w:sz="4" w:space="0"/>
            </w:tcBorders>
            <w:vAlign w:val="center"/>
          </w:tcPr>
          <w:p w14:paraId="28B5112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调解完成率</w:t>
            </w:r>
          </w:p>
        </w:tc>
        <w:tc>
          <w:tcPr>
            <w:tcW w:w="2705" w:type="pct"/>
            <w:gridSpan w:val="5"/>
            <w:tcBorders>
              <w:top w:val="single" w:color="000000" w:sz="4" w:space="0"/>
              <w:left w:val="single" w:color="000000" w:sz="4" w:space="0"/>
              <w:bottom w:val="single" w:color="000000" w:sz="4" w:space="0"/>
              <w:right w:val="single" w:color="000000" w:sz="4" w:space="0"/>
            </w:tcBorders>
            <w:vAlign w:val="center"/>
          </w:tcPr>
          <w:p w14:paraId="0FF939A3">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lang w:val="en-US"/>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≥95%</w:t>
            </w:r>
          </w:p>
        </w:tc>
      </w:tr>
      <w:tr w14:paraId="6DF83758">
        <w:tblPrEx>
          <w:tblCellMar>
            <w:top w:w="0" w:type="dxa"/>
            <w:left w:w="28" w:type="dxa"/>
            <w:bottom w:w="0" w:type="dxa"/>
            <w:right w:w="28" w:type="dxa"/>
          </w:tblCellMar>
        </w:tblPrEx>
        <w:trPr>
          <w:trHeight w:val="397" w:hRule="atLeast"/>
          <w:jc w:val="center"/>
        </w:trPr>
        <w:tc>
          <w:tcPr>
            <w:tcW w:w="286" w:type="pct"/>
            <w:vMerge w:val="continue"/>
            <w:tcBorders>
              <w:top w:val="single" w:color="000000" w:sz="4" w:space="0"/>
              <w:left w:val="single" w:color="000000" w:sz="4" w:space="0"/>
              <w:bottom w:val="single" w:color="000000" w:sz="4" w:space="0"/>
              <w:right w:val="single" w:color="000000" w:sz="4" w:space="0"/>
            </w:tcBorders>
            <w:vAlign w:val="center"/>
          </w:tcPr>
          <w:p w14:paraId="445443D6">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continue"/>
            <w:tcBorders>
              <w:top w:val="single" w:color="000000" w:sz="4" w:space="0"/>
              <w:left w:val="single" w:color="000000" w:sz="4" w:space="0"/>
              <w:bottom w:val="single" w:color="000000" w:sz="4" w:space="0"/>
              <w:right w:val="single" w:color="000000" w:sz="4" w:space="0"/>
            </w:tcBorders>
            <w:vAlign w:val="center"/>
          </w:tcPr>
          <w:p w14:paraId="6B134EAE">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96" w:type="pct"/>
            <w:tcBorders>
              <w:top w:val="single" w:color="000000" w:sz="4" w:space="0"/>
              <w:left w:val="single" w:color="000000" w:sz="4" w:space="0"/>
              <w:bottom w:val="single" w:color="000000" w:sz="4" w:space="0"/>
              <w:right w:val="single" w:color="000000" w:sz="4" w:space="0"/>
            </w:tcBorders>
            <w:vAlign w:val="center"/>
          </w:tcPr>
          <w:p w14:paraId="326C707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数量指标</w:t>
            </w:r>
          </w:p>
        </w:tc>
        <w:tc>
          <w:tcPr>
            <w:tcW w:w="830" w:type="pct"/>
            <w:tcBorders>
              <w:top w:val="single" w:color="000000" w:sz="4" w:space="0"/>
              <w:left w:val="single" w:color="000000" w:sz="4" w:space="0"/>
              <w:bottom w:val="single" w:color="000000" w:sz="4" w:space="0"/>
              <w:right w:val="single" w:color="000000" w:sz="4" w:space="0"/>
            </w:tcBorders>
            <w:vAlign w:val="center"/>
          </w:tcPr>
          <w:p w14:paraId="304963C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依法及时调节矛盾纠纷</w:t>
            </w:r>
          </w:p>
        </w:tc>
        <w:tc>
          <w:tcPr>
            <w:tcW w:w="2705" w:type="pct"/>
            <w:gridSpan w:val="5"/>
            <w:tcBorders>
              <w:top w:val="single" w:color="000000" w:sz="4" w:space="0"/>
              <w:left w:val="single" w:color="000000" w:sz="4" w:space="0"/>
              <w:bottom w:val="single" w:color="000000" w:sz="4" w:space="0"/>
              <w:right w:val="single" w:color="000000" w:sz="4" w:space="0"/>
            </w:tcBorders>
            <w:vAlign w:val="center"/>
          </w:tcPr>
          <w:p w14:paraId="5C9F98A2">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color w:val="000000"/>
                <w:sz w:val="21"/>
                <w:szCs w:val="21"/>
              </w:rPr>
              <w:t>≥</w:t>
            </w:r>
            <w:r>
              <w:rPr>
                <w:rFonts w:hint="default" w:ascii="Times New Roman" w:hAnsi="Times New Roman" w:eastAsia="方正仿宋简体" w:cs="Times New Roman"/>
                <w:color w:val="000000"/>
                <w:sz w:val="21"/>
                <w:szCs w:val="21"/>
                <w:lang w:val="en-US" w:eastAsia="zh-CN"/>
              </w:rPr>
              <w:t>3500件</w:t>
            </w:r>
          </w:p>
        </w:tc>
      </w:tr>
      <w:tr w14:paraId="11CCE55C">
        <w:tblPrEx>
          <w:tblCellMar>
            <w:top w:w="0" w:type="dxa"/>
            <w:left w:w="28" w:type="dxa"/>
            <w:bottom w:w="0" w:type="dxa"/>
            <w:right w:w="28" w:type="dxa"/>
          </w:tblCellMar>
        </w:tblPrEx>
        <w:trPr>
          <w:trHeight w:val="397" w:hRule="atLeast"/>
          <w:jc w:val="center"/>
        </w:trPr>
        <w:tc>
          <w:tcPr>
            <w:tcW w:w="286" w:type="pct"/>
            <w:vMerge w:val="continue"/>
            <w:tcBorders>
              <w:top w:val="single" w:color="000000" w:sz="4" w:space="0"/>
              <w:left w:val="single" w:color="000000" w:sz="4" w:space="0"/>
              <w:bottom w:val="single" w:color="000000" w:sz="4" w:space="0"/>
              <w:right w:val="single" w:color="000000" w:sz="4" w:space="0"/>
            </w:tcBorders>
            <w:vAlign w:val="center"/>
          </w:tcPr>
          <w:p w14:paraId="09333678">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continue"/>
            <w:tcBorders>
              <w:top w:val="single" w:color="000000" w:sz="4" w:space="0"/>
              <w:left w:val="single" w:color="000000" w:sz="4" w:space="0"/>
              <w:bottom w:val="single" w:color="000000" w:sz="4" w:space="0"/>
              <w:right w:val="single" w:color="000000" w:sz="4" w:space="0"/>
            </w:tcBorders>
            <w:vAlign w:val="center"/>
          </w:tcPr>
          <w:p w14:paraId="74544BE1">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96" w:type="pct"/>
            <w:tcBorders>
              <w:top w:val="single" w:color="000000" w:sz="4" w:space="0"/>
              <w:left w:val="single" w:color="000000" w:sz="4" w:space="0"/>
              <w:bottom w:val="single" w:color="000000" w:sz="4" w:space="0"/>
              <w:right w:val="single" w:color="000000" w:sz="4" w:space="0"/>
            </w:tcBorders>
            <w:vAlign w:val="center"/>
          </w:tcPr>
          <w:p w14:paraId="55F387D6">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i w:val="0"/>
                <w:iCs w:val="0"/>
                <w:color w:val="000000"/>
                <w:kern w:val="0"/>
                <w:sz w:val="21"/>
                <w:szCs w:val="21"/>
                <w:u w:val="none"/>
                <w:lang w:val="en-US" w:eastAsia="zh-CN" w:bidi="ar"/>
                <w14:ligatures w14:val="none"/>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数量指标</w:t>
            </w:r>
          </w:p>
        </w:tc>
        <w:tc>
          <w:tcPr>
            <w:tcW w:w="830" w:type="pct"/>
            <w:tcBorders>
              <w:top w:val="single" w:color="000000" w:sz="4" w:space="0"/>
              <w:left w:val="single" w:color="000000" w:sz="4" w:space="0"/>
              <w:bottom w:val="single" w:color="000000" w:sz="4" w:space="0"/>
              <w:right w:val="single" w:color="000000" w:sz="4" w:space="0"/>
            </w:tcBorders>
            <w:vAlign w:val="center"/>
          </w:tcPr>
          <w:p w14:paraId="6BBEA88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i w:val="0"/>
                <w:iCs w:val="0"/>
                <w:color w:val="000000"/>
                <w:kern w:val="0"/>
                <w:sz w:val="21"/>
                <w:szCs w:val="21"/>
                <w:u w:val="none"/>
                <w:lang w:val="en-US" w:eastAsia="zh-CN" w:bidi="ar"/>
                <w14:ligatures w14:val="none"/>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完成认罪认罚案件</w:t>
            </w:r>
          </w:p>
        </w:tc>
        <w:tc>
          <w:tcPr>
            <w:tcW w:w="2705" w:type="pct"/>
            <w:gridSpan w:val="5"/>
            <w:tcBorders>
              <w:top w:val="single" w:color="000000" w:sz="4" w:space="0"/>
              <w:left w:val="single" w:color="000000" w:sz="4" w:space="0"/>
              <w:bottom w:val="single" w:color="000000" w:sz="4" w:space="0"/>
              <w:right w:val="single" w:color="000000" w:sz="4" w:space="0"/>
            </w:tcBorders>
            <w:vAlign w:val="center"/>
          </w:tcPr>
          <w:p w14:paraId="65DC16D1">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lang w:val="en-US"/>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≥200件</w:t>
            </w:r>
          </w:p>
        </w:tc>
      </w:tr>
      <w:tr w14:paraId="4B1348C8">
        <w:tblPrEx>
          <w:tblCellMar>
            <w:top w:w="0" w:type="dxa"/>
            <w:left w:w="28" w:type="dxa"/>
            <w:bottom w:w="0" w:type="dxa"/>
            <w:right w:w="28" w:type="dxa"/>
          </w:tblCellMar>
        </w:tblPrEx>
        <w:trPr>
          <w:trHeight w:val="397" w:hRule="atLeast"/>
          <w:jc w:val="center"/>
        </w:trPr>
        <w:tc>
          <w:tcPr>
            <w:tcW w:w="286" w:type="pct"/>
            <w:vMerge w:val="continue"/>
            <w:tcBorders>
              <w:top w:val="single" w:color="000000" w:sz="4" w:space="0"/>
              <w:left w:val="single" w:color="000000" w:sz="4" w:space="0"/>
              <w:bottom w:val="single" w:color="000000" w:sz="4" w:space="0"/>
              <w:right w:val="single" w:color="000000" w:sz="4" w:space="0"/>
            </w:tcBorders>
            <w:vAlign w:val="center"/>
          </w:tcPr>
          <w:p w14:paraId="44229203">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continue"/>
            <w:tcBorders>
              <w:top w:val="single" w:color="000000" w:sz="4" w:space="0"/>
              <w:left w:val="single" w:color="000000" w:sz="4" w:space="0"/>
              <w:bottom w:val="single" w:color="000000" w:sz="4" w:space="0"/>
              <w:right w:val="single" w:color="000000" w:sz="4" w:space="0"/>
            </w:tcBorders>
            <w:vAlign w:val="center"/>
          </w:tcPr>
          <w:p w14:paraId="68E58451">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96" w:type="pct"/>
            <w:tcBorders>
              <w:top w:val="single" w:color="000000" w:sz="4" w:space="0"/>
              <w:left w:val="single" w:color="000000" w:sz="4" w:space="0"/>
              <w:bottom w:val="single" w:color="000000" w:sz="4" w:space="0"/>
              <w:right w:val="single" w:color="000000" w:sz="4" w:space="0"/>
            </w:tcBorders>
            <w:vAlign w:val="center"/>
          </w:tcPr>
          <w:p w14:paraId="636CF46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i w:val="0"/>
                <w:iCs w:val="0"/>
                <w:color w:val="000000"/>
                <w:kern w:val="0"/>
                <w:sz w:val="21"/>
                <w:szCs w:val="21"/>
                <w:u w:val="none"/>
                <w:lang w:val="en-US" w:eastAsia="zh-CN" w:bidi="ar"/>
                <w14:ligatures w14:val="none"/>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数量指标</w:t>
            </w:r>
          </w:p>
        </w:tc>
        <w:tc>
          <w:tcPr>
            <w:tcW w:w="830" w:type="pct"/>
            <w:tcBorders>
              <w:top w:val="single" w:color="000000" w:sz="4" w:space="0"/>
              <w:left w:val="single" w:color="000000" w:sz="4" w:space="0"/>
              <w:bottom w:val="single" w:color="000000" w:sz="4" w:space="0"/>
              <w:right w:val="single" w:color="000000" w:sz="4" w:space="0"/>
            </w:tcBorders>
            <w:vAlign w:val="center"/>
          </w:tcPr>
          <w:p w14:paraId="09F0D35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i w:val="0"/>
                <w:iCs w:val="0"/>
                <w:color w:val="000000"/>
                <w:kern w:val="0"/>
                <w:sz w:val="21"/>
                <w:szCs w:val="21"/>
                <w:u w:val="none"/>
                <w:lang w:val="en-US" w:eastAsia="zh-CN" w:bidi="ar"/>
                <w14:ligatures w14:val="none"/>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完成民事案件</w:t>
            </w:r>
          </w:p>
        </w:tc>
        <w:tc>
          <w:tcPr>
            <w:tcW w:w="2705" w:type="pct"/>
            <w:gridSpan w:val="5"/>
            <w:tcBorders>
              <w:top w:val="single" w:color="000000" w:sz="4" w:space="0"/>
              <w:left w:val="single" w:color="000000" w:sz="4" w:space="0"/>
              <w:bottom w:val="single" w:color="000000" w:sz="4" w:space="0"/>
              <w:right w:val="single" w:color="000000" w:sz="4" w:space="0"/>
            </w:tcBorders>
            <w:vAlign w:val="center"/>
          </w:tcPr>
          <w:p w14:paraId="7E416BF8">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lang w:val="en-US"/>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≥100件</w:t>
            </w:r>
          </w:p>
        </w:tc>
      </w:tr>
      <w:tr w14:paraId="6C0BA594">
        <w:tblPrEx>
          <w:tblCellMar>
            <w:top w:w="0" w:type="dxa"/>
            <w:left w:w="28" w:type="dxa"/>
            <w:bottom w:w="0" w:type="dxa"/>
            <w:right w:w="28" w:type="dxa"/>
          </w:tblCellMar>
        </w:tblPrEx>
        <w:trPr>
          <w:trHeight w:val="397" w:hRule="atLeast"/>
          <w:jc w:val="center"/>
        </w:trPr>
        <w:tc>
          <w:tcPr>
            <w:tcW w:w="286" w:type="pct"/>
            <w:vMerge w:val="continue"/>
            <w:tcBorders>
              <w:top w:val="single" w:color="000000" w:sz="4" w:space="0"/>
              <w:left w:val="single" w:color="000000" w:sz="4" w:space="0"/>
              <w:bottom w:val="single" w:color="000000" w:sz="4" w:space="0"/>
              <w:right w:val="single" w:color="000000" w:sz="4" w:space="0"/>
            </w:tcBorders>
            <w:vAlign w:val="center"/>
          </w:tcPr>
          <w:p w14:paraId="5F352108">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continue"/>
            <w:tcBorders>
              <w:top w:val="single" w:color="000000" w:sz="4" w:space="0"/>
              <w:left w:val="single" w:color="000000" w:sz="4" w:space="0"/>
              <w:bottom w:val="single" w:color="000000" w:sz="4" w:space="0"/>
              <w:right w:val="single" w:color="000000" w:sz="4" w:space="0"/>
            </w:tcBorders>
            <w:vAlign w:val="center"/>
          </w:tcPr>
          <w:p w14:paraId="6B03B55E">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96" w:type="pct"/>
            <w:tcBorders>
              <w:top w:val="single" w:color="000000" w:sz="4" w:space="0"/>
              <w:left w:val="single" w:color="000000" w:sz="4" w:space="0"/>
              <w:bottom w:val="single" w:color="000000" w:sz="4" w:space="0"/>
              <w:right w:val="single" w:color="000000" w:sz="4" w:space="0"/>
            </w:tcBorders>
            <w:vAlign w:val="center"/>
          </w:tcPr>
          <w:p w14:paraId="51B209E5">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质量指标</w:t>
            </w:r>
          </w:p>
        </w:tc>
        <w:tc>
          <w:tcPr>
            <w:tcW w:w="830" w:type="pct"/>
            <w:tcBorders>
              <w:top w:val="single" w:color="000000" w:sz="4" w:space="0"/>
              <w:left w:val="single" w:color="000000" w:sz="4" w:space="0"/>
              <w:bottom w:val="single" w:color="000000" w:sz="4" w:space="0"/>
              <w:right w:val="single" w:color="000000" w:sz="4" w:space="0"/>
            </w:tcBorders>
            <w:vAlign w:val="center"/>
          </w:tcPr>
          <w:p w14:paraId="2613224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调解协议履行率</w:t>
            </w:r>
          </w:p>
        </w:tc>
        <w:tc>
          <w:tcPr>
            <w:tcW w:w="2705" w:type="pct"/>
            <w:gridSpan w:val="5"/>
            <w:tcBorders>
              <w:top w:val="single" w:color="000000" w:sz="4" w:space="0"/>
              <w:left w:val="single" w:color="000000" w:sz="4" w:space="0"/>
              <w:bottom w:val="single" w:color="000000" w:sz="4" w:space="0"/>
              <w:right w:val="single" w:color="000000" w:sz="4" w:space="0"/>
            </w:tcBorders>
            <w:vAlign w:val="center"/>
          </w:tcPr>
          <w:p w14:paraId="03992EC4">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color w:val="000000"/>
                <w:sz w:val="21"/>
                <w:szCs w:val="21"/>
                <w:lang w:val="en-US" w:eastAsia="zh-CN"/>
              </w:rPr>
              <w:t>≥90%</w:t>
            </w:r>
          </w:p>
        </w:tc>
      </w:tr>
      <w:tr w14:paraId="6186E64E">
        <w:tblPrEx>
          <w:tblCellMar>
            <w:top w:w="0" w:type="dxa"/>
            <w:left w:w="28" w:type="dxa"/>
            <w:bottom w:w="0" w:type="dxa"/>
            <w:right w:w="28" w:type="dxa"/>
          </w:tblCellMar>
        </w:tblPrEx>
        <w:trPr>
          <w:trHeight w:val="397" w:hRule="atLeast"/>
          <w:jc w:val="center"/>
        </w:trPr>
        <w:tc>
          <w:tcPr>
            <w:tcW w:w="286" w:type="pct"/>
            <w:vMerge w:val="continue"/>
            <w:tcBorders>
              <w:top w:val="single" w:color="000000" w:sz="4" w:space="0"/>
              <w:left w:val="single" w:color="000000" w:sz="4" w:space="0"/>
              <w:bottom w:val="single" w:color="000000" w:sz="4" w:space="0"/>
              <w:right w:val="single" w:color="000000" w:sz="4" w:space="0"/>
            </w:tcBorders>
            <w:vAlign w:val="center"/>
          </w:tcPr>
          <w:p w14:paraId="61D31734">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restart"/>
            <w:tcBorders>
              <w:top w:val="single" w:color="000000" w:sz="4" w:space="0"/>
              <w:left w:val="single" w:color="000000" w:sz="4" w:space="0"/>
              <w:bottom w:val="single" w:color="000000" w:sz="4" w:space="0"/>
              <w:right w:val="single" w:color="000000" w:sz="4" w:space="0"/>
            </w:tcBorders>
            <w:vAlign w:val="center"/>
          </w:tcPr>
          <w:p w14:paraId="388EDCBF">
            <w:pPr>
              <w:keepNext w:val="0"/>
              <w:keepLines w:val="0"/>
              <w:pageBreakBefore w:val="0"/>
              <w:widowControl/>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kern w:val="0"/>
                <w:sz w:val="21"/>
                <w:szCs w:val="21"/>
                <w:lang w:bidi="ar"/>
              </w:rPr>
              <w:t>效益</w:t>
            </w:r>
            <w:bookmarkStart w:id="0" w:name="_GoBack"/>
            <w:bookmarkEnd w:id="0"/>
            <w:r>
              <w:rPr>
                <w:rFonts w:hint="default" w:ascii="Times New Roman" w:hAnsi="Times New Roman" w:eastAsia="方正仿宋简体" w:cs="Times New Roman"/>
                <w:color w:val="000000"/>
                <w:kern w:val="0"/>
                <w:sz w:val="21"/>
                <w:szCs w:val="21"/>
                <w:lang w:bidi="ar"/>
              </w:rPr>
              <w:t>指标</w:t>
            </w:r>
          </w:p>
        </w:tc>
        <w:tc>
          <w:tcPr>
            <w:tcW w:w="596" w:type="pct"/>
            <w:tcBorders>
              <w:top w:val="single" w:color="000000" w:sz="4" w:space="0"/>
              <w:left w:val="single" w:color="000000" w:sz="4" w:space="0"/>
              <w:bottom w:val="single" w:color="000000" w:sz="4" w:space="0"/>
              <w:right w:val="single" w:color="000000" w:sz="4" w:space="0"/>
            </w:tcBorders>
            <w:vAlign w:val="center"/>
          </w:tcPr>
          <w:p w14:paraId="5B0AC49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质量指标</w:t>
            </w:r>
          </w:p>
        </w:tc>
        <w:tc>
          <w:tcPr>
            <w:tcW w:w="830" w:type="pct"/>
            <w:tcBorders>
              <w:top w:val="single" w:color="000000" w:sz="4" w:space="0"/>
              <w:left w:val="single" w:color="000000" w:sz="4" w:space="0"/>
              <w:bottom w:val="single" w:color="000000" w:sz="4" w:space="0"/>
              <w:right w:val="single" w:color="000000" w:sz="4" w:space="0"/>
            </w:tcBorders>
            <w:vAlign w:val="center"/>
          </w:tcPr>
          <w:p w14:paraId="6291E0B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调解案件质量达标率</w:t>
            </w:r>
          </w:p>
        </w:tc>
        <w:tc>
          <w:tcPr>
            <w:tcW w:w="2705" w:type="pct"/>
            <w:gridSpan w:val="5"/>
            <w:tcBorders>
              <w:top w:val="single" w:color="000000" w:sz="4" w:space="0"/>
              <w:left w:val="single" w:color="000000" w:sz="4" w:space="0"/>
              <w:bottom w:val="single" w:color="000000" w:sz="4" w:space="0"/>
              <w:right w:val="single" w:color="000000" w:sz="4" w:space="0"/>
            </w:tcBorders>
            <w:vAlign w:val="center"/>
          </w:tcPr>
          <w:p w14:paraId="00BDCBFB">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r>
              <w:rPr>
                <w:rFonts w:hint="default" w:ascii="Times New Roman" w:hAnsi="Times New Roman" w:eastAsia="方正仿宋简体" w:cs="Times New Roman"/>
                <w:color w:val="000000"/>
                <w:sz w:val="21"/>
                <w:szCs w:val="21"/>
                <w:lang w:val="en-US" w:eastAsia="zh-CN"/>
              </w:rPr>
              <w:t>≥90%</w:t>
            </w:r>
          </w:p>
        </w:tc>
      </w:tr>
      <w:tr w14:paraId="1369068F">
        <w:tblPrEx>
          <w:tblCellMar>
            <w:top w:w="0" w:type="dxa"/>
            <w:left w:w="28" w:type="dxa"/>
            <w:bottom w:w="0" w:type="dxa"/>
            <w:right w:w="28" w:type="dxa"/>
          </w:tblCellMar>
        </w:tblPrEx>
        <w:trPr>
          <w:trHeight w:val="397" w:hRule="atLeast"/>
          <w:jc w:val="center"/>
        </w:trPr>
        <w:tc>
          <w:tcPr>
            <w:tcW w:w="286" w:type="pct"/>
            <w:vMerge w:val="continue"/>
            <w:tcBorders>
              <w:top w:val="single" w:color="000000" w:sz="4" w:space="0"/>
              <w:left w:val="single" w:color="000000" w:sz="4" w:space="0"/>
              <w:bottom w:val="single" w:color="000000" w:sz="4" w:space="0"/>
              <w:right w:val="single" w:color="000000" w:sz="4" w:space="0"/>
            </w:tcBorders>
            <w:vAlign w:val="center"/>
          </w:tcPr>
          <w:p w14:paraId="2F3326A6">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continue"/>
            <w:tcBorders>
              <w:top w:val="single" w:color="000000" w:sz="4" w:space="0"/>
              <w:left w:val="single" w:color="000000" w:sz="4" w:space="0"/>
              <w:bottom w:val="single" w:color="000000" w:sz="4" w:space="0"/>
              <w:right w:val="single" w:color="000000" w:sz="4" w:space="0"/>
            </w:tcBorders>
            <w:vAlign w:val="center"/>
          </w:tcPr>
          <w:p w14:paraId="6B4E5E5E">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96" w:type="pct"/>
            <w:tcBorders>
              <w:top w:val="single" w:color="000000" w:sz="4" w:space="0"/>
              <w:left w:val="single" w:color="000000" w:sz="4" w:space="0"/>
              <w:bottom w:val="single" w:color="000000" w:sz="4" w:space="0"/>
              <w:right w:val="single" w:color="000000" w:sz="4" w:space="0"/>
            </w:tcBorders>
            <w:vAlign w:val="center"/>
          </w:tcPr>
          <w:p w14:paraId="7AE6D58E">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color w:val="000000"/>
                <w:kern w:val="0"/>
                <w:sz w:val="21"/>
                <w:szCs w:val="21"/>
                <w:lang w:bidi="ar"/>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社会效益指标</w:t>
            </w:r>
          </w:p>
        </w:tc>
        <w:tc>
          <w:tcPr>
            <w:tcW w:w="830" w:type="pct"/>
            <w:tcBorders>
              <w:top w:val="single" w:color="000000" w:sz="4" w:space="0"/>
              <w:left w:val="single" w:color="000000" w:sz="4" w:space="0"/>
              <w:bottom w:val="single" w:color="000000" w:sz="4" w:space="0"/>
              <w:right w:val="single" w:color="000000" w:sz="4" w:space="0"/>
            </w:tcBorders>
            <w:vAlign w:val="center"/>
          </w:tcPr>
          <w:p w14:paraId="6A6AA000">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i w:val="0"/>
                <w:iCs w:val="0"/>
                <w:color w:val="000000"/>
                <w:kern w:val="0"/>
                <w:sz w:val="21"/>
                <w:szCs w:val="21"/>
                <w:u w:val="none"/>
                <w:lang w:val="en-US" w:eastAsia="zh-CN" w:bidi="ar"/>
                <w14:ligatures w14:val="none"/>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调查评估及时率、社区矫正对象报到入矫率</w:t>
            </w:r>
          </w:p>
        </w:tc>
        <w:tc>
          <w:tcPr>
            <w:tcW w:w="2705" w:type="pct"/>
            <w:gridSpan w:val="5"/>
            <w:tcBorders>
              <w:top w:val="single" w:color="000000" w:sz="4" w:space="0"/>
              <w:left w:val="single" w:color="000000" w:sz="4" w:space="0"/>
              <w:bottom w:val="single" w:color="000000" w:sz="4" w:space="0"/>
              <w:right w:val="single" w:color="000000" w:sz="4" w:space="0"/>
            </w:tcBorders>
            <w:vAlign w:val="center"/>
          </w:tcPr>
          <w:p w14:paraId="19B7C3E6">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color w:val="000000"/>
                <w:sz w:val="21"/>
                <w:szCs w:val="21"/>
                <w:lang w:val="en-US" w:eastAsia="zh-CN"/>
              </w:rPr>
              <w:t>=100%</w:t>
            </w:r>
          </w:p>
        </w:tc>
      </w:tr>
      <w:tr w14:paraId="08BA3820">
        <w:tblPrEx>
          <w:tblCellMar>
            <w:top w:w="0" w:type="dxa"/>
            <w:left w:w="28" w:type="dxa"/>
            <w:bottom w:w="0" w:type="dxa"/>
            <w:right w:w="28" w:type="dxa"/>
          </w:tblCellMar>
        </w:tblPrEx>
        <w:trPr>
          <w:trHeight w:val="397" w:hRule="atLeast"/>
          <w:jc w:val="center"/>
        </w:trPr>
        <w:tc>
          <w:tcPr>
            <w:tcW w:w="286" w:type="pct"/>
            <w:vMerge w:val="continue"/>
            <w:tcBorders>
              <w:top w:val="single" w:color="000000" w:sz="4" w:space="0"/>
              <w:left w:val="single" w:color="000000" w:sz="4" w:space="0"/>
              <w:bottom w:val="single" w:color="000000" w:sz="4" w:space="0"/>
              <w:right w:val="single" w:color="000000" w:sz="4" w:space="0"/>
            </w:tcBorders>
            <w:vAlign w:val="center"/>
          </w:tcPr>
          <w:p w14:paraId="032C25BB">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continue"/>
            <w:tcBorders>
              <w:top w:val="single" w:color="000000" w:sz="4" w:space="0"/>
              <w:left w:val="single" w:color="000000" w:sz="4" w:space="0"/>
              <w:bottom w:val="single" w:color="000000" w:sz="4" w:space="0"/>
              <w:right w:val="single" w:color="000000" w:sz="4" w:space="0"/>
            </w:tcBorders>
            <w:vAlign w:val="center"/>
          </w:tcPr>
          <w:p w14:paraId="4DF20AA7">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9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14:paraId="01158F2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bCs w:val="0"/>
                <w:kern w:val="2"/>
                <w:sz w:val="21"/>
                <w:szCs w:val="21"/>
                <w:lang w:val="en-US" w:eastAsia="zh-CN" w:bidi="ar-SA"/>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社会成本指标</w:t>
            </w:r>
          </w:p>
        </w:tc>
        <w:tc>
          <w:tcPr>
            <w:tcW w:w="8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14:paraId="0F5FD4E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bCs w:val="0"/>
                <w:kern w:val="2"/>
                <w:sz w:val="21"/>
                <w:szCs w:val="21"/>
                <w:lang w:val="en-US" w:eastAsia="zh-CN" w:bidi="ar-SA"/>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民生实事完成率</w:t>
            </w:r>
          </w:p>
        </w:tc>
        <w:tc>
          <w:tcPr>
            <w:tcW w:w="2705" w:type="pct"/>
            <w:gridSpan w:val="5"/>
            <w:tcBorders>
              <w:top w:val="single" w:color="000000" w:sz="4" w:space="0"/>
              <w:left w:val="single" w:color="000000" w:sz="4" w:space="0"/>
              <w:bottom w:val="single" w:color="000000" w:sz="4" w:space="0"/>
              <w:right w:val="single" w:color="000000" w:sz="4" w:space="0"/>
            </w:tcBorders>
            <w:vAlign w:val="center"/>
          </w:tcPr>
          <w:p w14:paraId="50956647">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color w:val="000000"/>
                <w:sz w:val="21"/>
                <w:szCs w:val="21"/>
                <w:lang w:val="en-US" w:eastAsia="zh-CN"/>
              </w:rPr>
              <w:t>=100%</w:t>
            </w:r>
          </w:p>
        </w:tc>
      </w:tr>
      <w:tr w14:paraId="4EABF0F8">
        <w:tblPrEx>
          <w:tblCellMar>
            <w:top w:w="0" w:type="dxa"/>
            <w:left w:w="28" w:type="dxa"/>
            <w:bottom w:w="0" w:type="dxa"/>
            <w:right w:w="28" w:type="dxa"/>
          </w:tblCellMar>
        </w:tblPrEx>
        <w:trPr>
          <w:trHeight w:val="397" w:hRule="atLeast"/>
          <w:jc w:val="center"/>
        </w:trPr>
        <w:tc>
          <w:tcPr>
            <w:tcW w:w="286" w:type="pct"/>
            <w:vMerge w:val="continue"/>
            <w:tcBorders>
              <w:top w:val="single" w:color="000000" w:sz="4" w:space="0"/>
              <w:left w:val="single" w:color="000000" w:sz="4" w:space="0"/>
              <w:bottom w:val="single" w:color="000000" w:sz="4" w:space="0"/>
              <w:right w:val="single" w:color="000000" w:sz="4" w:space="0"/>
            </w:tcBorders>
            <w:vAlign w:val="center"/>
          </w:tcPr>
          <w:p w14:paraId="17CB34B8">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b/>
                <w:bCs/>
                <w:color w:val="000000"/>
                <w:sz w:val="21"/>
                <w:szCs w:val="21"/>
              </w:rPr>
            </w:pPr>
          </w:p>
        </w:tc>
        <w:tc>
          <w:tcPr>
            <w:tcW w:w="580" w:type="pct"/>
            <w:vMerge w:val="continue"/>
            <w:tcBorders>
              <w:top w:val="single" w:color="000000" w:sz="4" w:space="0"/>
              <w:left w:val="single" w:color="000000" w:sz="4" w:space="0"/>
              <w:bottom w:val="single" w:color="000000" w:sz="4" w:space="0"/>
              <w:right w:val="single" w:color="000000" w:sz="4" w:space="0"/>
            </w:tcBorders>
            <w:vAlign w:val="center"/>
          </w:tcPr>
          <w:p w14:paraId="2ED03D7D">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rPr>
            </w:pPr>
          </w:p>
        </w:tc>
        <w:tc>
          <w:tcPr>
            <w:tcW w:w="596"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14:paraId="335FEEC3">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bCs w:val="0"/>
                <w:color w:val="000000"/>
                <w:kern w:val="0"/>
                <w:sz w:val="21"/>
                <w:szCs w:val="21"/>
                <w:lang w:val="en-US" w:eastAsia="zh-CN" w:bidi="ar-SA"/>
                <w14:ligatures w14:val="none"/>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社会效益指标</w:t>
            </w:r>
          </w:p>
        </w:tc>
        <w:tc>
          <w:tcPr>
            <w:tcW w:w="83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14:paraId="03518D7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简体" w:cs="Times New Roman"/>
                <w:bCs w:val="0"/>
                <w:kern w:val="2"/>
                <w:sz w:val="21"/>
                <w:szCs w:val="21"/>
                <w:lang w:val="en-US" w:eastAsia="zh-CN" w:bidi="ar-SA"/>
              </w:rPr>
            </w:pPr>
            <w:r>
              <w:rPr>
                <w:rFonts w:hint="default" w:ascii="Times New Roman" w:hAnsi="Times New Roman" w:eastAsia="方正仿宋简体" w:cs="Times New Roman"/>
                <w:i w:val="0"/>
                <w:iCs w:val="0"/>
                <w:color w:val="000000"/>
                <w:kern w:val="0"/>
                <w:sz w:val="21"/>
                <w:szCs w:val="21"/>
                <w:u w:val="none"/>
                <w:lang w:val="en-US" w:eastAsia="zh-CN" w:bidi="ar"/>
                <w14:ligatures w14:val="none"/>
              </w:rPr>
              <w:t>社区矫正对象矫正期间无脱管、漏管</w:t>
            </w:r>
          </w:p>
        </w:tc>
        <w:tc>
          <w:tcPr>
            <w:tcW w:w="2705" w:type="pct"/>
            <w:gridSpan w:val="5"/>
            <w:tcBorders>
              <w:top w:val="single" w:color="000000" w:sz="4" w:space="0"/>
              <w:left w:val="single" w:color="000000" w:sz="4" w:space="0"/>
              <w:bottom w:val="single" w:color="000000" w:sz="4" w:space="0"/>
              <w:right w:val="single" w:color="000000" w:sz="4" w:space="0"/>
            </w:tcBorders>
            <w:vAlign w:val="center"/>
          </w:tcPr>
          <w:p w14:paraId="1C6A3299">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方正仿宋简体" w:cs="Times New Roman"/>
                <w:color w:val="000000"/>
                <w:sz w:val="21"/>
                <w:szCs w:val="21"/>
                <w:lang w:val="en-US" w:eastAsia="zh-CN"/>
              </w:rPr>
            </w:pPr>
            <w:r>
              <w:rPr>
                <w:rFonts w:hint="default" w:ascii="Times New Roman" w:hAnsi="Times New Roman" w:eastAsia="方正仿宋简体" w:cs="Times New Roman"/>
                <w:color w:val="000000"/>
                <w:sz w:val="21"/>
                <w:szCs w:val="21"/>
                <w:lang w:val="en-US" w:eastAsia="zh-CN"/>
              </w:rPr>
              <w:t>=100%</w:t>
            </w:r>
          </w:p>
        </w:tc>
      </w:tr>
    </w:tbl>
    <w:p w14:paraId="4D7E3D21">
      <w:pPr>
        <w:rPr>
          <w:rFonts w:hint="default" w:ascii="Times New Roman" w:hAnsi="Times New Roman" w:eastAsia="宋体" w:cs="Times New Roman"/>
          <w:lang w:val="en-US" w:eastAsia="zh-CN"/>
        </w:rPr>
      </w:pPr>
      <w:r>
        <w:rPr>
          <w:rFonts w:hint="default" w:ascii="Times New Roman" w:hAnsi="Times New Roman" w:eastAsia="宋体" w:cs="Times New Roman"/>
          <w:lang w:val="en-US" w:eastAsia="zh-CN"/>
        </w:rPr>
        <w:br w:type="page"/>
      </w:r>
    </w:p>
    <w:p w14:paraId="082294F2">
      <w:pPr>
        <w:pStyle w:val="3"/>
        <w:spacing w:after="0" w:line="400" w:lineRule="exact"/>
        <w:ind w:left="0" w:leftChars="0"/>
        <w:rPr>
          <w:rFonts w:hint="eastAsia" w:ascii="黑体" w:hAnsi="黑体" w:eastAsia="黑体" w:cs="黑体"/>
          <w:color w:val="000000"/>
          <w:kern w:val="0"/>
          <w:sz w:val="28"/>
          <w:szCs w:val="28"/>
          <w:lang w:bidi="ar"/>
        </w:rPr>
      </w:pPr>
      <w:r>
        <w:rPr>
          <w:rFonts w:hint="eastAsia" w:ascii="黑体" w:hAnsi="黑体" w:eastAsia="黑体" w:cs="黑体"/>
          <w:color w:val="000000"/>
          <w:kern w:val="0"/>
          <w:sz w:val="28"/>
          <w:szCs w:val="28"/>
          <w:lang w:bidi="ar"/>
        </w:rPr>
        <w:t>填报说明：</w:t>
      </w:r>
    </w:p>
    <w:p w14:paraId="7EB78AB4">
      <w:pPr>
        <w:pStyle w:val="3"/>
        <w:spacing w:after="0" w:line="400" w:lineRule="exact"/>
        <w:ind w:left="0" w:leftChars="0"/>
        <w:rPr>
          <w:rFonts w:hint="eastAsia" w:ascii="黑体" w:hAnsi="黑体" w:eastAsia="黑体" w:cs="黑体"/>
          <w:color w:val="000000"/>
          <w:kern w:val="0"/>
          <w:sz w:val="28"/>
          <w:szCs w:val="28"/>
          <w:lang w:bidi="ar"/>
        </w:rPr>
      </w:pPr>
      <w:r>
        <w:rPr>
          <w:rFonts w:hint="eastAsia" w:ascii="黑体" w:hAnsi="黑体" w:eastAsia="黑体" w:cs="黑体"/>
          <w:color w:val="000000"/>
          <w:kern w:val="0"/>
          <w:sz w:val="28"/>
          <w:szCs w:val="28"/>
          <w:lang w:bidi="ar"/>
        </w:rPr>
        <w:t>1.所有单位均需编制整体支出绩效目标（包括人武部），有主管部门的由部门汇总下属单位的进行填报（下属单位的自己存档备查），注意金额需与汇编资料一致；</w:t>
      </w:r>
    </w:p>
    <w:p w14:paraId="3E337BEC">
      <w:pPr>
        <w:pStyle w:val="3"/>
        <w:spacing w:after="0" w:line="400" w:lineRule="exact"/>
        <w:ind w:left="0" w:leftChars="0"/>
        <w:rPr>
          <w:rFonts w:hint="eastAsia" w:ascii="黑体" w:hAnsi="黑体" w:eastAsia="黑体" w:cs="黑体"/>
          <w:color w:val="000000"/>
          <w:kern w:val="0"/>
          <w:sz w:val="28"/>
          <w:szCs w:val="28"/>
          <w:lang w:bidi="ar"/>
        </w:rPr>
      </w:pPr>
      <w:r>
        <w:rPr>
          <w:rFonts w:hint="eastAsia" w:ascii="黑体" w:hAnsi="黑体" w:eastAsia="黑体" w:cs="黑体"/>
          <w:color w:val="000000"/>
          <w:kern w:val="0"/>
          <w:sz w:val="28"/>
          <w:szCs w:val="28"/>
          <w:lang w:bidi="ar"/>
        </w:rPr>
        <w:t>2.整体绩效目标需结合单位职能职责进行编制，文字内容与汇编资料一致（不能跟上年一模一样），指标值务必合理设置且与部门职能相关；</w:t>
      </w:r>
    </w:p>
    <w:p w14:paraId="042E6B96">
      <w:pPr>
        <w:pStyle w:val="3"/>
        <w:spacing w:after="0" w:line="400" w:lineRule="exact"/>
        <w:ind w:left="0" w:leftChars="0"/>
        <w:rPr>
          <w:rFonts w:hint="eastAsia" w:ascii="黑体" w:hAnsi="黑体" w:eastAsia="黑体" w:cs="黑体"/>
          <w:color w:val="000000"/>
          <w:kern w:val="0"/>
          <w:sz w:val="28"/>
          <w:szCs w:val="28"/>
          <w:lang w:bidi="ar"/>
        </w:rPr>
      </w:pPr>
      <w:r>
        <w:rPr>
          <w:rFonts w:hint="eastAsia" w:ascii="黑体" w:hAnsi="黑体" w:eastAsia="黑体" w:cs="黑体"/>
          <w:color w:val="000000"/>
          <w:kern w:val="0"/>
          <w:sz w:val="28"/>
          <w:szCs w:val="28"/>
          <w:lang w:bidi="ar"/>
        </w:rPr>
        <w:t>3.若有涉密内容、敏感内容可不在申报表中体现。</w:t>
      </w:r>
    </w:p>
    <w:p w14:paraId="7A3389BA">
      <w:pPr>
        <w:pStyle w:val="3"/>
        <w:spacing w:after="0" w:line="400" w:lineRule="exact"/>
        <w:ind w:left="0" w:leftChars="0"/>
        <w:rPr>
          <w:rFonts w:hint="default" w:ascii="黑体" w:hAnsi="黑体" w:eastAsia="黑体" w:cs="黑体"/>
          <w:color w:val="000000"/>
          <w:kern w:val="0"/>
          <w:sz w:val="28"/>
          <w:szCs w:val="28"/>
          <w:lang w:val="en-US" w:eastAsia="zh-CN" w:bidi="ar"/>
        </w:rPr>
      </w:pPr>
      <w:r>
        <w:rPr>
          <w:rFonts w:hint="eastAsia" w:ascii="黑体" w:hAnsi="黑体" w:eastAsia="黑体" w:cs="黑体"/>
          <w:color w:val="000000"/>
          <w:kern w:val="0"/>
          <w:sz w:val="28"/>
          <w:szCs w:val="28"/>
          <w:lang w:val="en-US" w:eastAsia="zh-CN" w:bidi="ar"/>
        </w:rPr>
        <w:t>4填表注意事项：</w:t>
      </w:r>
    </w:p>
    <w:p w14:paraId="45C2F6E7">
      <w:pPr>
        <w:pStyle w:val="3"/>
        <w:spacing w:after="0" w:line="400" w:lineRule="exact"/>
        <w:ind w:left="0" w:leftChars="0" w:firstLine="560" w:firstLineChars="200"/>
        <w:rPr>
          <w:rFonts w:hint="eastAsia" w:ascii="仿宋_GB2312" w:hAnsi="仿宋_GB2312" w:eastAsia="仿宋_GB2312" w:cs="仿宋_GB2312"/>
          <w:color w:val="000000"/>
          <w:kern w:val="0"/>
          <w:sz w:val="28"/>
          <w:szCs w:val="28"/>
          <w:lang w:bidi="ar"/>
        </w:rPr>
      </w:pPr>
      <w:r>
        <w:rPr>
          <w:rFonts w:hint="eastAsia" w:ascii="楷体_GB2312" w:hAnsi="楷体_GB2312" w:eastAsia="楷体_GB2312" w:cs="楷体_GB2312"/>
          <w:color w:val="000000"/>
          <w:kern w:val="0"/>
          <w:sz w:val="28"/>
          <w:szCs w:val="28"/>
          <w:lang w:bidi="ar"/>
        </w:rPr>
        <w:t>1.财政拨款预算偏离度指标</w:t>
      </w:r>
      <w:r>
        <w:rPr>
          <w:rFonts w:hint="eastAsia" w:ascii="黑体" w:hAnsi="黑体" w:eastAsia="黑体" w:cs="黑体"/>
          <w:color w:val="000000"/>
          <w:kern w:val="0"/>
          <w:sz w:val="28"/>
          <w:szCs w:val="28"/>
          <w:lang w:bidi="ar"/>
        </w:rPr>
        <w:t>。</w:t>
      </w:r>
      <w:r>
        <w:rPr>
          <w:rFonts w:hint="eastAsia" w:ascii="仿宋_GB2312" w:hAnsi="仿宋_GB2312" w:eastAsia="仿宋_GB2312" w:cs="仿宋_GB2312"/>
          <w:color w:val="000000"/>
          <w:kern w:val="0"/>
          <w:sz w:val="28"/>
          <w:szCs w:val="28"/>
          <w:lang w:bidi="ar"/>
        </w:rPr>
        <w:t>财政拨款预算偏离度=|财政拨款预算执行数-财政拨款年初预算数|÷财政拨款年初预算数×100%。指标值设置应参考前三年度（2022-2024年，下同）的平均值，原则上不得高于前三年平均值。</w:t>
      </w:r>
    </w:p>
    <w:p w14:paraId="1494BAB6">
      <w:pPr>
        <w:pStyle w:val="3"/>
        <w:spacing w:after="0" w:line="400" w:lineRule="exact"/>
        <w:ind w:left="0" w:leftChars="0" w:firstLine="560" w:firstLineChars="200"/>
        <w:rPr>
          <w:rFonts w:hint="eastAsia" w:ascii="仿宋_GB2312" w:hAnsi="仿宋_GB2312" w:eastAsia="仿宋_GB2312" w:cs="仿宋_GB2312"/>
          <w:color w:val="000000"/>
          <w:kern w:val="0"/>
          <w:sz w:val="28"/>
          <w:szCs w:val="28"/>
          <w:lang w:bidi="ar"/>
        </w:rPr>
      </w:pPr>
      <w:r>
        <w:rPr>
          <w:rFonts w:hint="eastAsia" w:ascii="楷体_GB2312" w:hAnsi="楷体_GB2312" w:eastAsia="楷体_GB2312" w:cs="楷体_GB2312"/>
          <w:color w:val="000000"/>
          <w:kern w:val="0"/>
          <w:sz w:val="28"/>
          <w:szCs w:val="28"/>
          <w:lang w:bidi="ar"/>
        </w:rPr>
        <w:t>2.单位收入统筹度指标。</w:t>
      </w:r>
      <w:r>
        <w:rPr>
          <w:rFonts w:hint="eastAsia" w:ascii="仿宋_GB2312" w:hAnsi="仿宋_GB2312" w:eastAsia="仿宋_GB2312" w:cs="仿宋_GB2312"/>
          <w:color w:val="000000"/>
          <w:kern w:val="0"/>
          <w:sz w:val="28"/>
          <w:szCs w:val="28"/>
          <w:lang w:bidi="ar"/>
        </w:rPr>
        <w:t>单位收入统筹度=[（部门自有收入全年执行数÷部门自有收入年初预算数）×100%+（财政核定的综合补助比例÷按实际执行测算的综合补助比例）×100%]÷2。指标值设置应参考前三年度的平均值，原则上不得低于前三年平均值。如不涉及，该项指标可删除。</w:t>
      </w:r>
    </w:p>
    <w:p w14:paraId="03EC5714">
      <w:pPr>
        <w:pStyle w:val="3"/>
        <w:spacing w:after="0" w:line="400" w:lineRule="exact"/>
        <w:ind w:left="0" w:leftChars="0" w:firstLine="560" w:firstLineChars="200"/>
        <w:rPr>
          <w:rFonts w:hint="eastAsia" w:ascii="仿宋_GB2312" w:hAnsi="仿宋_GB2312" w:eastAsia="仿宋_GB2312" w:cs="仿宋_GB2312"/>
          <w:color w:val="000000"/>
          <w:kern w:val="0"/>
          <w:sz w:val="28"/>
          <w:szCs w:val="28"/>
          <w:lang w:bidi="ar"/>
        </w:rPr>
      </w:pPr>
      <w:r>
        <w:rPr>
          <w:rFonts w:hint="eastAsia" w:ascii="楷体_GB2312" w:hAnsi="楷体_GB2312" w:eastAsia="楷体_GB2312" w:cs="楷体_GB2312"/>
          <w:color w:val="000000"/>
          <w:kern w:val="0"/>
          <w:sz w:val="28"/>
          <w:szCs w:val="28"/>
          <w:lang w:bidi="ar"/>
        </w:rPr>
        <w:t>3.预算年终结余率指标。</w:t>
      </w:r>
      <w:r>
        <w:rPr>
          <w:rFonts w:hint="eastAsia" w:ascii="仿宋_GB2312" w:hAnsi="仿宋_GB2312" w:eastAsia="仿宋_GB2312" w:cs="仿宋_GB2312"/>
          <w:color w:val="000000"/>
          <w:kern w:val="0"/>
          <w:sz w:val="28"/>
          <w:szCs w:val="28"/>
          <w:lang w:bidi="ar"/>
        </w:rPr>
        <w:t>预算年终结余率=（当年年终部门预算注销金额+当年年终部门预算结转金额）÷部门预算总金额×100%。指标值设置应参考前三年度的平均值，原则上不得高于前三年平均值。</w:t>
      </w:r>
    </w:p>
    <w:p w14:paraId="37F08052">
      <w:pPr>
        <w:pStyle w:val="3"/>
        <w:spacing w:after="0" w:line="400" w:lineRule="exact"/>
        <w:ind w:left="0" w:leftChars="0" w:firstLine="560" w:firstLineChars="200"/>
        <w:rPr>
          <w:rFonts w:hint="eastAsia" w:ascii="仿宋_GB2312" w:hAnsi="仿宋_GB2312" w:eastAsia="仿宋_GB2312" w:cs="仿宋_GB2312"/>
          <w:color w:val="000000"/>
          <w:kern w:val="0"/>
          <w:sz w:val="28"/>
          <w:szCs w:val="28"/>
          <w:lang w:bidi="ar"/>
        </w:rPr>
      </w:pPr>
      <w:r>
        <w:rPr>
          <w:rFonts w:hint="eastAsia" w:ascii="楷体_GB2312" w:hAnsi="楷体_GB2312" w:eastAsia="楷体_GB2312" w:cs="楷体_GB2312"/>
          <w:color w:val="000000"/>
          <w:kern w:val="0"/>
          <w:sz w:val="28"/>
          <w:szCs w:val="28"/>
          <w:lang w:bidi="ar"/>
        </w:rPr>
        <w:t>4.一般性支出金额指标。</w:t>
      </w:r>
      <w:r>
        <w:rPr>
          <w:rFonts w:hint="eastAsia" w:ascii="仿宋_GB2312" w:hAnsi="仿宋_GB2312" w:eastAsia="仿宋_GB2312" w:cs="仿宋_GB2312"/>
          <w:color w:val="000000"/>
          <w:kern w:val="0"/>
          <w:sz w:val="28"/>
          <w:szCs w:val="28"/>
          <w:lang w:bidi="ar"/>
        </w:rPr>
        <w:t>包括“三公”经费、会议、培训、差旅、办节办展、办公设备购置、信息网络及软件购置更新、课题经费等8项一般性支出。指标值设置不得高于上一年度一般性支出金额。</w:t>
      </w:r>
    </w:p>
    <w:p w14:paraId="4B37D993">
      <w:pPr>
        <w:pStyle w:val="3"/>
        <w:spacing w:after="0" w:line="400" w:lineRule="exact"/>
        <w:ind w:left="0" w:leftChars="0" w:firstLine="560" w:firstLineChars="200"/>
        <w:rPr>
          <w:rFonts w:hint="eastAsia" w:ascii="仿宋_GB2312" w:hAnsi="仿宋_GB2312" w:eastAsia="仿宋_GB2312" w:cs="仿宋_GB2312"/>
          <w:color w:val="000000"/>
          <w:kern w:val="0"/>
          <w:sz w:val="28"/>
          <w:szCs w:val="28"/>
          <w:lang w:bidi="ar"/>
        </w:rPr>
      </w:pPr>
      <w:r>
        <w:rPr>
          <w:rFonts w:hint="eastAsia" w:ascii="楷体_GB2312" w:hAnsi="楷体_GB2312" w:eastAsia="楷体_GB2312" w:cs="楷体_GB2312"/>
          <w:color w:val="000000"/>
          <w:kern w:val="0"/>
          <w:sz w:val="28"/>
          <w:szCs w:val="28"/>
          <w:lang w:bidi="ar"/>
        </w:rPr>
        <w:t>5.财务管理规范指标。</w:t>
      </w:r>
      <w:r>
        <w:rPr>
          <w:rFonts w:hint="eastAsia" w:ascii="仿宋_GB2312" w:hAnsi="仿宋_GB2312" w:eastAsia="仿宋_GB2312" w:cs="仿宋_GB2312"/>
          <w:color w:val="000000"/>
          <w:kern w:val="0"/>
          <w:sz w:val="28"/>
          <w:szCs w:val="28"/>
          <w:lang w:bidi="ar"/>
        </w:rPr>
        <w:t>反映：部门财务管理制度是否建立；部门财务岗位设置是否符合相关财务管理制度要求；部门资金使用是否符合相关财务管理制度规定。指标值应为优、良、中、差，以上三项条件均符合为优；仅符合其中两项为良；仅符合其中一项为中；以上三项均不符合为差。</w:t>
      </w:r>
    </w:p>
    <w:p w14:paraId="5D4C88F8">
      <w:pPr>
        <w:pStyle w:val="3"/>
        <w:spacing w:after="0" w:line="400" w:lineRule="exact"/>
        <w:ind w:left="0" w:leftChars="0" w:firstLine="560" w:firstLineChars="200"/>
        <w:rPr>
          <w:rFonts w:hint="eastAsia" w:ascii="仿宋_GB2312" w:hAnsi="仿宋_GB2312" w:eastAsia="仿宋_GB2312" w:cs="仿宋_GB2312"/>
          <w:color w:val="000000"/>
          <w:kern w:val="0"/>
          <w:sz w:val="28"/>
          <w:szCs w:val="28"/>
          <w:lang w:bidi="ar"/>
        </w:rPr>
      </w:pPr>
      <w:r>
        <w:rPr>
          <w:rFonts w:hint="eastAsia" w:ascii="楷体_GB2312" w:hAnsi="楷体_GB2312" w:eastAsia="楷体_GB2312" w:cs="楷体_GB2312"/>
          <w:color w:val="000000"/>
          <w:kern w:val="0"/>
          <w:sz w:val="28"/>
          <w:szCs w:val="28"/>
          <w:lang w:bidi="ar"/>
        </w:rPr>
        <w:t>6.资产配置预算偏离度指标。</w:t>
      </w:r>
      <w:r>
        <w:rPr>
          <w:rFonts w:hint="eastAsia" w:ascii="仿宋_GB2312" w:hAnsi="仿宋_GB2312" w:eastAsia="仿宋_GB2312" w:cs="仿宋_GB2312"/>
          <w:color w:val="000000"/>
          <w:kern w:val="0"/>
          <w:sz w:val="28"/>
          <w:szCs w:val="28"/>
          <w:lang w:bidi="ar"/>
        </w:rPr>
        <w:t>资产配置预算偏离度=（资产配置调整预算-资产配置年初预算）/资产配置年初预算*100%，指标设置应参考前三年度的平均值，原则上不得高于前三年平均值。</w:t>
      </w:r>
    </w:p>
    <w:p w14:paraId="2A33747D">
      <w:pPr>
        <w:pStyle w:val="3"/>
        <w:spacing w:after="0" w:line="400" w:lineRule="exact"/>
        <w:ind w:left="0" w:leftChars="0" w:firstLine="560" w:firstLineChars="200"/>
        <w:rPr>
          <w:rFonts w:hint="eastAsia" w:ascii="仿宋_GB2312" w:hAnsi="仿宋_GB2312" w:eastAsia="仿宋_GB2312" w:cs="仿宋_GB2312"/>
          <w:color w:val="000000"/>
          <w:kern w:val="0"/>
          <w:sz w:val="28"/>
          <w:szCs w:val="28"/>
          <w:lang w:bidi="ar"/>
        </w:rPr>
      </w:pPr>
      <w:r>
        <w:rPr>
          <w:rFonts w:hint="eastAsia" w:ascii="楷体_GB2312" w:hAnsi="楷体_GB2312" w:eastAsia="楷体_GB2312" w:cs="楷体_GB2312"/>
          <w:color w:val="000000"/>
          <w:kern w:val="0"/>
          <w:sz w:val="28"/>
          <w:szCs w:val="28"/>
          <w:lang w:bidi="ar"/>
        </w:rPr>
        <w:t>7.采购执行率指标。</w:t>
      </w:r>
      <w:r>
        <w:rPr>
          <w:rFonts w:hint="eastAsia" w:ascii="仿宋_GB2312" w:hAnsi="仿宋_GB2312" w:eastAsia="仿宋_GB2312" w:cs="仿宋_GB2312"/>
          <w:color w:val="000000"/>
          <w:kern w:val="0"/>
          <w:sz w:val="28"/>
          <w:szCs w:val="28"/>
          <w:lang w:bidi="ar"/>
        </w:rPr>
        <w:t>采购执行率=当年政府采购实际支付总金额÷（当年政府采购总预算数-当年已完成采购项目节约金额）×100%。指标值设置应参考前三年度的平均值，原则上不得低于前三年平均值。</w:t>
      </w:r>
    </w:p>
    <w:p w14:paraId="366E96EE">
      <w:pPr>
        <w:pStyle w:val="3"/>
        <w:spacing w:after="0" w:line="400" w:lineRule="exact"/>
        <w:ind w:left="0" w:leftChars="0" w:firstLine="560" w:firstLineChars="200"/>
        <w:rPr>
          <w:rFonts w:hint="eastAsia" w:ascii="仿宋_GB2312" w:hAnsi="仿宋_GB2312" w:eastAsia="仿宋_GB2312" w:cs="仿宋_GB2312"/>
          <w:color w:val="000000"/>
          <w:kern w:val="0"/>
          <w:sz w:val="28"/>
          <w:szCs w:val="28"/>
          <w:lang w:bidi="ar"/>
        </w:rPr>
      </w:pPr>
      <w:r>
        <w:rPr>
          <w:rFonts w:hint="eastAsia" w:ascii="楷体_GB2312" w:hAnsi="楷体_GB2312" w:eastAsia="楷体_GB2312" w:cs="楷体_GB2312"/>
          <w:color w:val="000000"/>
          <w:kern w:val="0"/>
          <w:sz w:val="28"/>
          <w:szCs w:val="28"/>
          <w:lang w:bidi="ar"/>
        </w:rPr>
        <w:t>8.履职效能</w:t>
      </w:r>
      <w:r>
        <w:rPr>
          <w:rFonts w:ascii="楷体_GB2312" w:hAnsi="楷体_GB2312" w:eastAsia="楷体_GB2312" w:cs="楷体_GB2312"/>
          <w:color w:val="000000"/>
          <w:kern w:val="0"/>
          <w:sz w:val="28"/>
          <w:szCs w:val="28"/>
          <w:lang w:bidi="ar"/>
        </w:rPr>
        <w:t>指标</w:t>
      </w:r>
      <w:r>
        <w:rPr>
          <w:rFonts w:hint="eastAsia" w:ascii="楷体_GB2312" w:hAnsi="楷体_GB2312" w:eastAsia="楷体_GB2312" w:cs="楷体_GB2312"/>
          <w:color w:val="000000"/>
          <w:kern w:val="0"/>
          <w:sz w:val="28"/>
          <w:szCs w:val="28"/>
          <w:lang w:bidi="ar"/>
        </w:rPr>
        <w:t>。</w:t>
      </w:r>
      <w:r>
        <w:rPr>
          <w:rFonts w:ascii="仿宋_GB2312" w:hAnsi="仿宋_GB2312" w:eastAsia="仿宋_GB2312" w:cs="仿宋_GB2312"/>
          <w:color w:val="000000"/>
          <w:kern w:val="0"/>
          <w:sz w:val="28"/>
          <w:szCs w:val="28"/>
          <w:lang w:bidi="ar"/>
        </w:rPr>
        <w:t>一般包括产出指标、效益指标</w:t>
      </w:r>
      <w:r>
        <w:rPr>
          <w:rFonts w:hint="eastAsia" w:ascii="仿宋_GB2312" w:hAnsi="仿宋_GB2312" w:eastAsia="仿宋_GB2312" w:cs="仿宋_GB2312"/>
          <w:color w:val="000000"/>
          <w:kern w:val="0"/>
          <w:sz w:val="28"/>
          <w:szCs w:val="28"/>
          <w:lang w:bidi="ar"/>
        </w:rPr>
        <w:t>两</w:t>
      </w:r>
      <w:r>
        <w:rPr>
          <w:rFonts w:ascii="仿宋_GB2312" w:hAnsi="仿宋_GB2312" w:eastAsia="仿宋_GB2312" w:cs="仿宋_GB2312"/>
          <w:color w:val="000000"/>
          <w:kern w:val="0"/>
          <w:sz w:val="28"/>
          <w:szCs w:val="28"/>
          <w:lang w:bidi="ar"/>
        </w:rPr>
        <w:t>类一级指标</w:t>
      </w:r>
      <w:r>
        <w:rPr>
          <w:rFonts w:hint="eastAsia" w:ascii="仿宋_GB2312" w:hAnsi="仿宋_GB2312" w:eastAsia="仿宋_GB2312" w:cs="仿宋_GB2312"/>
          <w:color w:val="000000"/>
          <w:kern w:val="0"/>
          <w:sz w:val="28"/>
          <w:szCs w:val="28"/>
          <w:lang w:bidi="ar"/>
        </w:rPr>
        <w:t>，</w:t>
      </w:r>
      <w:r>
        <w:rPr>
          <w:rFonts w:ascii="仿宋_GB2312" w:hAnsi="仿宋_GB2312" w:eastAsia="仿宋_GB2312" w:cs="仿宋_GB2312"/>
          <w:color w:val="000000"/>
          <w:kern w:val="0"/>
          <w:sz w:val="28"/>
          <w:szCs w:val="28"/>
          <w:lang w:bidi="ar"/>
        </w:rPr>
        <w:t>部门结合职能职责</w:t>
      </w:r>
      <w:r>
        <w:rPr>
          <w:rFonts w:hint="eastAsia" w:ascii="仿宋_GB2312" w:hAnsi="仿宋_GB2312" w:eastAsia="仿宋_GB2312" w:cs="仿宋_GB2312"/>
          <w:color w:val="000000"/>
          <w:kern w:val="0"/>
          <w:sz w:val="28"/>
          <w:szCs w:val="28"/>
          <w:lang w:bidi="ar"/>
        </w:rPr>
        <w:t>设置3-5</w:t>
      </w:r>
      <w:r>
        <w:rPr>
          <w:rFonts w:ascii="仿宋_GB2312" w:hAnsi="仿宋_GB2312" w:eastAsia="仿宋_GB2312" w:cs="仿宋_GB2312"/>
          <w:color w:val="000000"/>
          <w:kern w:val="0"/>
          <w:sz w:val="28"/>
          <w:szCs w:val="28"/>
          <w:lang w:bidi="ar"/>
        </w:rPr>
        <w:t>个可量化指标，并在以后年度保持</w:t>
      </w:r>
      <w:r>
        <w:rPr>
          <w:rFonts w:hint="eastAsia" w:ascii="仿宋_GB2312" w:hAnsi="仿宋_GB2312" w:eastAsia="仿宋_GB2312" w:cs="仿宋_GB2312"/>
          <w:color w:val="000000"/>
          <w:kern w:val="0"/>
          <w:sz w:val="28"/>
          <w:szCs w:val="28"/>
          <w:lang w:bidi="ar"/>
        </w:rPr>
        <w:t>相对固定</w:t>
      </w:r>
      <w:r>
        <w:rPr>
          <w:rFonts w:ascii="仿宋_GB2312" w:hAnsi="仿宋_GB2312" w:eastAsia="仿宋_GB2312" w:cs="仿宋_GB2312"/>
          <w:color w:val="000000"/>
          <w:kern w:val="0"/>
          <w:sz w:val="28"/>
          <w:szCs w:val="28"/>
          <w:lang w:bidi="ar"/>
        </w:rPr>
        <w:t>。指标值应细化、量化，可量化的用数值描述，不可量化的以定性描述。</w:t>
      </w:r>
    </w:p>
    <w:p w14:paraId="073D5051">
      <w:pPr>
        <w:pStyle w:val="3"/>
        <w:spacing w:after="0" w:line="400" w:lineRule="exact"/>
        <w:ind w:left="0" w:leftChars="0" w:firstLine="560" w:firstLineChars="200"/>
        <w:jc w:val="left"/>
        <w:rPr>
          <w:rFonts w:hint="eastAsia" w:ascii="仿宋_GB2312" w:hAnsi="仿宋_GB2312" w:eastAsia="仿宋_GB2312" w:cs="仿宋_GB2312"/>
          <w:color w:val="000000"/>
          <w:kern w:val="0"/>
          <w:sz w:val="28"/>
          <w:szCs w:val="28"/>
          <w:lang w:bidi="ar"/>
        </w:rPr>
      </w:pPr>
      <w:r>
        <w:rPr>
          <w:rFonts w:hint="eastAsia" w:ascii="楷体_GB2312" w:hAnsi="楷体_GB2312" w:eastAsia="楷体_GB2312" w:cs="楷体_GB2312"/>
          <w:color w:val="000000"/>
          <w:kern w:val="0"/>
          <w:sz w:val="28"/>
          <w:szCs w:val="28"/>
          <w:lang w:bidi="ar"/>
        </w:rPr>
        <w:t>9.度量单位。</w:t>
      </w:r>
      <w:r>
        <w:rPr>
          <w:rFonts w:ascii="仿宋_GB2312" w:hAnsi="仿宋_GB2312" w:eastAsia="仿宋_GB2312" w:cs="仿宋_GB2312"/>
          <w:color w:val="000000"/>
          <w:kern w:val="0"/>
          <w:sz w:val="28"/>
          <w:szCs w:val="28"/>
          <w:lang w:bidi="ar"/>
        </w:rPr>
        <w:t>指标计量单位，例</w:t>
      </w:r>
      <w:r>
        <w:rPr>
          <w:rFonts w:hint="eastAsia" w:ascii="仿宋_GB2312" w:hAnsi="仿宋_GB2312" w:eastAsia="仿宋_GB2312" w:cs="仿宋_GB2312"/>
          <w:color w:val="000000"/>
          <w:kern w:val="0"/>
          <w:sz w:val="28"/>
          <w:szCs w:val="28"/>
          <w:lang w:bidi="ar"/>
        </w:rPr>
        <w:t>如</w:t>
      </w:r>
      <w:r>
        <w:rPr>
          <w:rFonts w:ascii="仿宋_GB2312" w:hAnsi="仿宋_GB2312" w:eastAsia="仿宋_GB2312" w:cs="仿宋_GB2312"/>
          <w:color w:val="000000"/>
          <w:kern w:val="0"/>
          <w:sz w:val="28"/>
          <w:szCs w:val="28"/>
          <w:lang w:bidi="ar"/>
        </w:rPr>
        <w:t>个”“次”“%”“小时”等。</w:t>
      </w:r>
    </w:p>
    <w:p w14:paraId="1FCD45D5"/>
    <w:sectPr>
      <w:pgSz w:w="11906" w:h="16838"/>
      <w:pgMar w:top="1587" w:right="1134" w:bottom="1587"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2010601030101010101"/>
    <w:charset w:val="86"/>
    <w:family w:val="auto"/>
    <w:pitch w:val="default"/>
    <w:sig w:usb0="00000000" w:usb1="00000000" w:usb2="00000000" w:usb3="00000000" w:csb0="00040000" w:csb1="00000000"/>
  </w:font>
  <w:font w:name="方正仿宋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5306CB0"/>
    <w:rsid w:val="012F3F7C"/>
    <w:rsid w:val="0E922575"/>
    <w:rsid w:val="13AA1353"/>
    <w:rsid w:val="175B29DE"/>
    <w:rsid w:val="1FEA77EA"/>
    <w:rsid w:val="27C47FCA"/>
    <w:rsid w:val="2BE2330D"/>
    <w:rsid w:val="2C796D04"/>
    <w:rsid w:val="3168491E"/>
    <w:rsid w:val="38635A90"/>
    <w:rsid w:val="38833DC6"/>
    <w:rsid w:val="3ADB521F"/>
    <w:rsid w:val="3F4F7C6C"/>
    <w:rsid w:val="44AB2637"/>
    <w:rsid w:val="4A1D1724"/>
    <w:rsid w:val="574C0B47"/>
    <w:rsid w:val="584F4EF2"/>
    <w:rsid w:val="5DBA0DD1"/>
    <w:rsid w:val="65D2051C"/>
    <w:rsid w:val="680B32BF"/>
    <w:rsid w:val="6DD67943"/>
    <w:rsid w:val="75306CB0"/>
    <w:rsid w:val="76CC75F6"/>
    <w:rsid w:val="77046BF5"/>
    <w:rsid w:val="7E7960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jc w:val="both"/>
    </w:pPr>
    <w:rPr>
      <w:rFonts w:ascii="Calibri" w:hAnsi="Calibri" w:eastAsia="宋体" w:cs="Times New Roman"/>
      <w:kern w:val="2"/>
      <w:sz w:val="21"/>
      <w:szCs w:val="24"/>
      <w:lang w:val="en-US" w:eastAsia="zh-CN" w:bidi="ar-SA"/>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ody Text"/>
    <w:basedOn w:val="1"/>
    <w:next w:val="1"/>
    <w:qFormat/>
    <w:uiPriority w:val="0"/>
    <w:pPr>
      <w:spacing w:after="140" w:line="276" w:lineRule="auto"/>
    </w:pPr>
  </w:style>
  <w:style w:type="paragraph" w:styleId="3">
    <w:name w:val="Body Text Indent 2"/>
    <w:basedOn w:val="1"/>
    <w:qFormat/>
    <w:uiPriority w:val="0"/>
    <w:pPr>
      <w:spacing w:after="120" w:line="480" w:lineRule="auto"/>
      <w:ind w:left="420" w:leftChars="200"/>
    </w:pPr>
  </w:style>
  <w:style w:type="paragraph" w:styleId="4">
    <w:name w:val="footer"/>
    <w:basedOn w:val="1"/>
    <w:qFormat/>
    <w:uiPriority w:val="0"/>
    <w:pPr>
      <w:tabs>
        <w:tab w:val="center" w:pos="4153"/>
        <w:tab w:val="right" w:pos="8306"/>
      </w:tabs>
      <w:snapToGrid w:val="0"/>
      <w:jc w:val="left"/>
    </w:pPr>
    <w:rPr>
      <w:sz w:val="18"/>
    </w:rPr>
  </w:style>
  <w:style w:type="paragraph" w:styleId="5">
    <w:name w:val="Normal (Web)"/>
    <w:basedOn w:val="1"/>
    <w:qFormat/>
    <w:uiPriority w:val="0"/>
    <w:pPr>
      <w:spacing w:before="100" w:beforeAutospacing="1" w:after="100" w:afterAutospacing="1"/>
      <w:jc w:val="left"/>
    </w:pPr>
    <w:rPr>
      <w:kern w:val="0"/>
      <w:sz w:val="24"/>
    </w:rPr>
  </w:style>
  <w:style w:type="character" w:customStyle="1" w:styleId="8">
    <w:name w:val="font21"/>
    <w:basedOn w:val="7"/>
    <w:qFormat/>
    <w:uiPriority w:val="0"/>
    <w:rPr>
      <w:rFonts w:hint="eastAsia" w:ascii="宋体" w:hAnsi="宋体" w:eastAsia="宋体" w:cs="宋体"/>
      <w:color w:val="000000"/>
      <w:sz w:val="21"/>
      <w:szCs w:val="21"/>
      <w:u w:val="none"/>
    </w:rPr>
  </w:style>
  <w:style w:type="character" w:customStyle="1" w:styleId="9">
    <w:name w:val="font61"/>
    <w:basedOn w:val="7"/>
    <w:qFormat/>
    <w:uiPriority w:val="0"/>
    <w:rPr>
      <w:rFonts w:hint="eastAsia" w:ascii="宋体" w:hAnsi="宋体" w:eastAsia="宋体" w:cs="宋体"/>
      <w:color w:val="000000"/>
      <w:sz w:val="21"/>
      <w:szCs w:val="21"/>
      <w:u w:val="none"/>
    </w:rPr>
  </w:style>
  <w:style w:type="character" w:customStyle="1" w:styleId="10">
    <w:name w:val="font91"/>
    <w:basedOn w:val="7"/>
    <w:qFormat/>
    <w:uiPriority w:val="0"/>
    <w:rPr>
      <w:rFonts w:hint="eastAsia" w:ascii="宋体" w:hAnsi="宋体" w:eastAsia="宋体" w:cs="宋体"/>
      <w:color w:val="FF0000"/>
      <w:sz w:val="21"/>
      <w:szCs w:val="21"/>
      <w:u w:val="none"/>
    </w:rPr>
  </w:style>
  <w:style w:type="character" w:customStyle="1" w:styleId="11">
    <w:name w:val="font101"/>
    <w:basedOn w:val="7"/>
    <w:qFormat/>
    <w:uiPriority w:val="0"/>
    <w:rPr>
      <w:rFonts w:hint="eastAsia" w:ascii="宋体" w:hAnsi="宋体" w:eastAsia="宋体" w:cs="宋体"/>
      <w:color w:val="0070C0"/>
      <w:sz w:val="21"/>
      <w:szCs w:val="21"/>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611</Words>
  <Characters>710</Characters>
  <Lines>0</Lines>
  <Paragraphs>0</Paragraphs>
  <TotalTime>1</TotalTime>
  <ScaleCrop>false</ScaleCrop>
  <LinksUpToDate>false</LinksUpToDate>
  <CharactersWithSpaces>710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2025-03-03T06:09:00Z</dcterms:created>
  <dc:creator>¿</dc:creator>
  <cp:lastModifiedBy>J-晶^V^</cp:lastModifiedBy>
  <dcterms:modified xsi:type="dcterms:W3CDTF">2025-03-11T07:18:07Z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8E1AB799E0A54CA29A721542CAFFD0E2_13</vt:lpwstr>
  </property>
  <property fmtid="{D5CDD505-2E9C-101B-9397-08002B2CF9AE}" pid="4" name="KSOTemplateDocerSaveRecord">
    <vt:lpwstr>eyJoZGlkIjoiYjE0ZGNiNWZjMWU4OTJiM2I5ZWQ2NTQ1NWQxZGUwYjYiLCJ1c2VySWQiOiIyOTQ2NTkyOTMifQ==</vt:lpwstr>
  </property>
</Properties>
</file>